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94"/>
        <w:ind w:left="5812"/>
        <w:rPr>
          <w:rFonts w:ascii="Times New Roman" w:hAnsi="Times New Roman" w:cs="Times New Roman"/>
          <w:b w:val="0"/>
          <w:sz w:val="24"/>
          <w:szCs w:val="24"/>
        </w:rPr>
      </w:pPr>
      <w:r/>
      <w:bookmarkStart w:id="0" w:name="_Hlk176306049"/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jc w:val="center"/>
        <w:spacing w:after="0" w:line="360" w:lineRule="auto"/>
        <w:widowControl w:val="off"/>
        <w:tabs>
          <w:tab w:val="left" w:pos="4962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180340" distL="114300" distR="114300" simplePos="0" relativeHeight="251659264" behindDoc="0" locked="0" layoutInCell="1" allowOverlap="1">
                <wp:simplePos x="0" y="0"/>
                <wp:positionH relativeFrom="margin">
                  <wp:posOffset>2683320</wp:posOffset>
                </wp:positionH>
                <wp:positionV relativeFrom="paragraph">
                  <wp:posOffset>0</wp:posOffset>
                </wp:positionV>
                <wp:extent cx="1116000" cy="540000"/>
                <wp:effectExtent l="0" t="0" r="8255" b="0"/>
                <wp:wrapTopAndBottom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1116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margin;margin-left:211.29pt;mso-position-horizontal:absolute;mso-position-vertical-relative:text;margin-top:0.00pt;mso-position-vertical:absolute;width:87.87pt;height:42.52pt;mso-wrap-distance-left:9.00pt;mso-wrap-distance-top:0.00pt;mso-wrap-distance-right:9.00pt;mso-wrap-distance-bottom:14.20pt;" stroked="false">
                <v:path textboxrect="0,0,0,0"/>
                <w10:wrap type="topAndBottom"/>
                <v:imagedata r:id="rId12" o:title="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АКЦИОНЕРНОЕ ОБЩЕСТВО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360" w:lineRule="auto"/>
        <w:widowControl w:val="off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«ДАЛЬНЕВОСТОЧНАЯ ГЕНЕРИРУЮЩАЯ КОМПАНИЯ»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360" w:lineRule="auto"/>
        <w:widowControl w:val="off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(АО «ДГК»)</w:t>
      </w:r>
      <w:bookmarkEnd w:id="0"/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pStyle w:val="99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9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9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9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9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9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9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9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9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9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9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9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94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 xml:space="preserve">РЕГЛАМЕНТ</w:t>
      </w:r>
      <w:r>
        <w:rPr>
          <w:rFonts w:ascii="Times New Roman" w:hAnsi="Times New Roman" w:cs="Times New Roman"/>
          <w:caps/>
          <w:sz w:val="28"/>
          <w:szCs w:val="28"/>
        </w:rPr>
      </w:r>
      <w:r>
        <w:rPr>
          <w:rFonts w:ascii="Times New Roman" w:hAnsi="Times New Roman" w:cs="Times New Roman"/>
          <w:caps/>
          <w:sz w:val="28"/>
          <w:szCs w:val="28"/>
        </w:rPr>
      </w:r>
    </w:p>
    <w:p>
      <w:pPr>
        <w:pStyle w:val="994"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  <w:r>
        <w:rPr>
          <w:rFonts w:ascii="Times New Roman" w:hAnsi="Times New Roman" w:cs="Times New Roman"/>
          <w:b w:val="0"/>
          <w:caps/>
          <w:sz w:val="28"/>
          <w:szCs w:val="28"/>
        </w:rPr>
      </w:r>
      <w:r>
        <w:rPr>
          <w:rFonts w:ascii="Times New Roman" w:hAnsi="Times New Roman" w:cs="Times New Roman"/>
          <w:b w:val="0"/>
          <w:caps/>
          <w:sz w:val="28"/>
          <w:szCs w:val="28"/>
        </w:rPr>
      </w:r>
      <w:r>
        <w:rPr>
          <w:rFonts w:ascii="Times New Roman" w:hAnsi="Times New Roman" w:cs="Times New Roman"/>
          <w:b w:val="0"/>
          <w:caps/>
          <w:sz w:val="28"/>
          <w:szCs w:val="28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беспечения доступности объектов инфраструктуры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24.3-005-2025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Хабаровск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2025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101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r/>
      <w:r/>
    </w:p>
    <w:sdt>
      <w:sdtPr>
        <w15:appearance w15:val="boundingBox"/>
        <w:id w:val="440499908"/>
        <w:docPartObj>
          <w:docPartGallery w:val="Table of Contents"/>
          <w:docPartUnique w:val="true"/>
        </w:docPartObj>
        <w:rPr/>
      </w:sdtPr>
      <w:sdtContent>
        <w:p>
          <w:pPr>
            <w:jc w:val="center"/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СОДЕРЖАНИЕ</w:t>
          </w:r>
          <w:r>
            <w:rPr>
              <w:rFonts w:ascii="Times New Roman" w:hAnsi="Times New Roman" w:cs="Times New Roman"/>
              <w:sz w:val="28"/>
              <w:szCs w:val="28"/>
            </w:rPr>
          </w:r>
          <w:r>
            <w:rPr>
              <w:rFonts w:ascii="Times New Roman" w:hAnsi="Times New Roman" w:cs="Times New Roman"/>
              <w:sz w:val="28"/>
              <w:szCs w:val="28"/>
            </w:rPr>
          </w:r>
        </w:p>
        <w:p>
          <w:pPr>
            <w:pStyle w:val="1014"/>
          </w:pPr>
          <w:r>
            <w:rPr>
              <w:sz w:val="24"/>
              <w:szCs w:val="24"/>
            </w:rPr>
            <w:tab/>
          </w:r>
          <w:r>
            <w:rPr>
              <w:rStyle w:val="991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fldChar w:fldCharType="begin"/>
          </w:r>
          <w:r>
            <w:rPr>
              <w:rStyle w:val="991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instrText xml:space="preserve"> TOC \o "1-3" \h \z \u </w:instrText>
          </w:r>
          <w:r>
            <w:rPr>
              <w:rStyle w:val="991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fldChar w:fldCharType="separate"/>
          </w:r>
          <w:r/>
        </w:p>
        <w:p>
          <w:pPr>
            <w:pStyle w:val="1014"/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</w:pPr>
          <w:r/>
          <w:hyperlink w:tooltip="#_Toc191254329" w:anchor="_Toc191254329" w:history="1">
            <w:r>
              <w:rPr>
                <w:rStyle w:val="991"/>
                <w:rFonts w:ascii="Times New Roman" w:hAnsi="Times New Roman" w:cs="Times New Roman"/>
                <w:sz w:val="28"/>
                <w:szCs w:val="28"/>
              </w:rPr>
              <w:t xml:space="preserve">Термины и сокращения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_Toc191254329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  <w:r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</w:r>
          <w:r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</w:r>
        </w:p>
        <w:p>
          <w:pPr>
            <w:pStyle w:val="1014"/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</w:pPr>
          <w:r/>
          <w:hyperlink w:tooltip="#_Toc191254330" w:anchor="_Toc191254330" w:history="1">
            <w:r>
              <w:rPr>
                <w:rStyle w:val="991"/>
                <w:rFonts w:ascii="Times New Roman" w:hAnsi="Times New Roman" w:cs="Times New Roman"/>
                <w:sz w:val="28"/>
                <w:szCs w:val="28"/>
              </w:rPr>
              <w:t xml:space="preserve">1.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ab/>
            </w:r>
            <w:r>
              <w:rPr>
                <w:rStyle w:val="991"/>
                <w:rFonts w:ascii="Times New Roman" w:hAnsi="Times New Roman" w:cs="Times New Roman"/>
                <w:sz w:val="28"/>
                <w:szCs w:val="28"/>
              </w:rPr>
              <w:t xml:space="preserve">Общие положения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_Toc191254330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  <w:t xml:space="preserve">5</w:t>
            </w:r>
          </w:hyperlink>
          <w:r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</w:r>
        </w:p>
        <w:p>
          <w:pPr>
            <w:pStyle w:val="1014"/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</w:pPr>
          <w:r/>
          <w:hyperlink w:tooltip="#_Toc191254331" w:anchor="_Toc191254331" w:history="1">
            <w:r>
              <w:rPr>
                <w:rStyle w:val="991"/>
                <w:rFonts w:ascii="Times New Roman" w:hAnsi="Times New Roman" w:cs="Times New Roman"/>
                <w:sz w:val="28"/>
                <w:szCs w:val="28"/>
              </w:rPr>
              <w:t xml:space="preserve">2.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ab/>
            </w:r>
            <w:r>
              <w:rPr>
                <w:rStyle w:val="991"/>
                <w:rFonts w:ascii="Times New Roman" w:hAnsi="Times New Roman" w:cs="Times New Roman"/>
                <w:sz w:val="28"/>
                <w:szCs w:val="28"/>
              </w:rPr>
              <w:t xml:space="preserve">Процедуры обеспечения доступности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</w:t>
            </w:r>
          </w:hyperlink>
          <w:r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</w:r>
          <w:r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</w:r>
        </w:p>
        <w:p>
          <w:pPr>
            <w:pStyle w:val="1014"/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</w:pPr>
          <w:r/>
          <w:hyperlink w:tooltip="#_Toc191254332" w:anchor="_Toc191254332" w:history="1">
            <w:r>
              <w:rPr>
                <w:rStyle w:val="991"/>
                <w:rFonts w:ascii="Times New Roman" w:hAnsi="Times New Roman" w:cs="Times New Roman"/>
                <w:sz w:val="28"/>
                <w:szCs w:val="28"/>
              </w:rPr>
              <w:t xml:space="preserve">3.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ab/>
            </w:r>
            <w:r>
              <w:rPr>
                <w:rStyle w:val="991"/>
                <w:rFonts w:ascii="Times New Roman" w:hAnsi="Times New Roman" w:cs="Times New Roman"/>
                <w:sz w:val="28"/>
                <w:szCs w:val="28"/>
              </w:rPr>
              <w:t xml:space="preserve">Обеспечение действий в нештатных ситуациях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</w:t>
            </w:r>
          </w:hyperlink>
          <w:r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</w:r>
          <w:r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</w:r>
        </w:p>
        <w:p>
          <w:pPr>
            <w:pStyle w:val="1014"/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</w:pPr>
          <w:r/>
          <w:hyperlink w:tooltip="#_Toc191254333" w:anchor="_Toc191254333" w:history="1">
            <w:r>
              <w:rPr>
                <w:rStyle w:val="991"/>
                <w:rFonts w:ascii="Times New Roman" w:hAnsi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ab/>
            </w:r>
            <w:r>
              <w:rPr>
                <w:rStyle w:val="991"/>
                <w:rFonts w:ascii="Times New Roman" w:hAnsi="Times New Roman" w:cs="Times New Roman"/>
                <w:sz w:val="28"/>
                <w:szCs w:val="28"/>
              </w:rPr>
              <w:t xml:space="preserve">Ответственность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_Toc191254333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  <w:r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</w:r>
          <w:r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</w:r>
        </w:p>
        <w:p>
          <w:pPr>
            <w:pStyle w:val="1014"/>
            <w:rPr>
              <w:rStyle w:val="991"/>
              <w:color w:val="auto"/>
              <w:sz w:val="28"/>
              <w:szCs w:val="28"/>
              <w:u w:val="none"/>
            </w:rPr>
          </w:pPr>
          <w:r>
            <w:rPr>
              <w:rStyle w:val="991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fldChar w:fldCharType="end"/>
          </w:r>
          <w:r>
            <w:rPr>
              <w:rStyle w:val="991"/>
              <w:color w:val="auto"/>
              <w:sz w:val="28"/>
              <w:szCs w:val="28"/>
              <w:u w:val="none"/>
            </w:rPr>
          </w:r>
          <w:r>
            <w:rPr>
              <w:rStyle w:val="991"/>
              <w:color w:val="auto"/>
              <w:sz w:val="28"/>
              <w:szCs w:val="28"/>
              <w:u w:val="none"/>
            </w:rPr>
          </w:r>
        </w:p>
      </w:sdtContent>
    </w:sdt>
    <w:p>
      <w:pPr>
        <w:spacing w:after="160" w:line="259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 w:clear="all"/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809"/>
        <w:ind w:left="142"/>
        <w:jc w:val="center"/>
        <w:pageBreakBefore/>
        <w:spacing w:before="0" w:after="120"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/>
      <w:bookmarkStart w:id="1" w:name="_Toc19125432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ТЕРМИНЫ И СОКРАЩЕНИЯ</w:t>
      </w:r>
      <w:bookmarkEnd w:id="1"/>
      <w:r>
        <w:rPr>
          <w:rFonts w:ascii="Times New Roman" w:hAnsi="Times New Roman" w:cs="Times New Roman"/>
          <w:b/>
          <w:color w:val="auto"/>
          <w:sz w:val="28"/>
          <w:szCs w:val="28"/>
        </w:rPr>
      </w:r>
      <w:r>
        <w:rPr>
          <w:rFonts w:ascii="Times New Roman" w:hAnsi="Times New Roman" w:cs="Times New Roman"/>
          <w:b/>
          <w:color w:val="auto"/>
          <w:sz w:val="28"/>
          <w:szCs w:val="28"/>
        </w:rPr>
      </w:r>
    </w:p>
    <w:tbl>
      <w:tblPr>
        <w:tblStyle w:val="98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981"/>
        <w:gridCol w:w="356"/>
        <w:gridCol w:w="7300"/>
      </w:tblGrid>
      <w:tr>
        <w:tblPrEx/>
        <w:trPr/>
        <w:tc>
          <w:tcPr>
            <w:tcW w:w="1981" w:type="dxa"/>
            <w:vAlign w:val="center"/>
            <w:textDirection w:val="lrTb"/>
            <w:noWrap w:val="false"/>
          </w:tcPr>
          <w:p>
            <w:p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АРМ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35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7300" w:type="dxa"/>
            <w:vAlign w:val="center"/>
            <w:textDirection w:val="lrTb"/>
            <w:noWrap w:val="false"/>
          </w:tcPr>
          <w:p>
            <w:p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Автоматизированное рабочее место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tcW w:w="1981" w:type="dxa"/>
            <w:vAlign w:val="center"/>
            <w:textDirection w:val="lrTb"/>
            <w:noWrap w:val="false"/>
          </w:tcPr>
          <w:p>
            <w:p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АСУ ТП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35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7300" w:type="dxa"/>
            <w:vAlign w:val="center"/>
            <w:textDirection w:val="lrTb"/>
            <w:noWrap w:val="false"/>
          </w:tcPr>
          <w:p>
            <w:p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Автоматизированная система управления технологическим процессом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tcW w:w="1981" w:type="dxa"/>
            <w:vAlign w:val="center"/>
            <w:textDirection w:val="lrTb"/>
            <w:noWrap w:val="false"/>
          </w:tcPr>
          <w:p>
            <w:p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35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7300" w:type="dxa"/>
            <w:vAlign w:val="center"/>
            <w:textDirection w:val="lrTb"/>
            <w:noWrap w:val="false"/>
          </w:tcPr>
          <w:p>
            <w:p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Информационные системы Общества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tcW w:w="1981" w:type="dxa"/>
            <w:vAlign w:val="center"/>
            <w:textDirection w:val="lrTb"/>
            <w:noWrap w:val="false"/>
          </w:tcPr>
          <w:p>
            <w:p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КИИ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35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7300" w:type="dxa"/>
            <w:vAlign w:val="center"/>
            <w:textDirection w:val="lrTb"/>
            <w:noWrap w:val="false"/>
          </w:tcPr>
          <w:p>
            <w:p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Критическая информационная инфраструктура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tcW w:w="1981" w:type="dxa"/>
            <w:vAlign w:val="center"/>
            <w:textDirection w:val="lrTb"/>
            <w:noWrap w:val="false"/>
          </w:tcPr>
          <w:p>
            <w:p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ЛНД (А) Общества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35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7300" w:type="dxa"/>
            <w:vAlign w:val="center"/>
            <w:textDirection w:val="lrTb"/>
            <w:noWrap w:val="false"/>
          </w:tcPr>
          <w:p>
            <w:p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Локальные нормативные документы (акты)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tcW w:w="1981" w:type="dxa"/>
            <w:vAlign w:val="center"/>
            <w:textDirection w:val="lrTb"/>
            <w:noWrap w:val="false"/>
          </w:tcPr>
          <w:p>
            <w:p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Общество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35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7300" w:type="dxa"/>
            <w:vAlign w:val="center"/>
            <w:textDirection w:val="lrTb"/>
            <w:noWrap w:val="false"/>
          </w:tcPr>
          <w:p>
            <w:p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Акционерное общество «Дальневосточная генерирующая компания»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tcW w:w="1981" w:type="dxa"/>
            <w:vAlign w:val="center"/>
            <w:textDirection w:val="lrTb"/>
            <w:noWrap w:val="false"/>
          </w:tcPr>
          <w:p>
            <w:p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356" w:type="dxa"/>
            <w:textDirection w:val="lrTb"/>
            <w:noWrap w:val="false"/>
          </w:tcPr>
          <w:p>
            <w:pPr>
              <w:jc w:val="center"/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7300" w:type="dxa"/>
            <w:vAlign w:val="center"/>
            <w:textDirection w:val="lrTb"/>
            <w:noWrap w:val="false"/>
          </w:tcPr>
          <w:p>
            <w:p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Программное обеспечение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tcW w:w="1981" w:type="dxa"/>
            <w:vAlign w:val="center"/>
            <w:textDirection w:val="lrTb"/>
            <w:noWrap w:val="false"/>
          </w:tcPr>
          <w:p>
            <w:p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РФ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356" w:type="dxa"/>
            <w:textDirection w:val="lrTb"/>
            <w:noWrap w:val="false"/>
          </w:tcPr>
          <w:p>
            <w:pPr>
              <w:jc w:val="center"/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7300" w:type="dxa"/>
            <w:vAlign w:val="center"/>
            <w:textDirection w:val="lrTb"/>
            <w:noWrap w:val="false"/>
          </w:tcPr>
          <w:p>
            <w:p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Российская Федерация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tcW w:w="1981" w:type="dxa"/>
            <w:vAlign w:val="center"/>
            <w:textDirection w:val="lrTb"/>
            <w:noWrap w:val="false"/>
          </w:tcPr>
          <w:p>
            <w:p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СВТ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35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7300" w:type="dxa"/>
            <w:vAlign w:val="center"/>
            <w:textDirection w:val="lrTb"/>
            <w:noWrap w:val="false"/>
          </w:tcPr>
          <w:p>
            <w:p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Средства вычислительной техники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tcW w:w="1981" w:type="dxa"/>
            <w:vAlign w:val="center"/>
            <w:textDirection w:val="lrTb"/>
            <w:noWrap w:val="false"/>
          </w:tcPr>
          <w:p>
            <w:p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Сервисная организация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35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7300" w:type="dxa"/>
            <w:textDirection w:val="lrTb"/>
            <w:noWrap w:val="false"/>
          </w:tcPr>
          <w:p>
            <w:pPr>
              <w:jc w:val="both"/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ООО «РусГидро ИТ сервис»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оказывающее комплексные ИТ-услуги по договору 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либо любая другая организация, оказывающая услуги по внедрению, технической поддержке ИС, систем АСУ ТП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tcW w:w="1981" w:type="dxa"/>
            <w:textDirection w:val="lrTb"/>
            <w:noWrap w:val="false"/>
          </w:tcPr>
          <w:p>
            <w:p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СП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35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7300" w:type="dxa"/>
            <w:textDirection w:val="lrTb"/>
            <w:noWrap w:val="false"/>
          </w:tcPr>
          <w:p>
            <w:pPr>
              <w:jc w:val="both"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Структурное подразделение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Автоматизированная система управления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– объект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инфраструктуры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, с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остоящий из контроллеров, датчиков, сетевого и серверного оборудования, контрольных панелей, баз данных, может включать в себя АРМ. Автоматизированная система управления обеспечивает исполнение какого-либо технологического процесса, реализуемого Обществом.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Защищаемая информация Общества –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персональные данные, обрабатываемые в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ИСПДн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Общества, коммерческая тайна, обрабатывая в ИС Общества, технологическая информация, обрабатываемая в ИС Общества, технологическая информация, обеспечивающая работоспособность АСУ ТП и обрабатываемая АСУ ТП Общества.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Значимый объект критической информационной инфраструктуры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– объект критической информационной инфраструктуры, которому присвоена одна из категорий значимости и который включен в реестр значимых объектов критической информационной инфраструктуры.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Информационный ресурс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– данные и/или документы, организованные для получения информации, представленные в любой знаковой системе, на любом физическом носителе и/или распространяемые в информационно-телекоммуникационных сетях.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Информационная система –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объект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инфраструктуры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, состоящий из АРМ, серверов, сетевого оборудования, базы данных, интерфейсов ввода и вывода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информации, может включать в себя элементы автоматизированных сис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тем управления. Информационная система обеспечивает выполнение какого-либо из процессов Общества, может являться корпоративной и обеспечивать общие процессы Общества, но может быть и технологической, реализующей какой-либо технологический процесс Общества.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Критическая информационная инфраструктура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– объекты критической информационной инфраструктуры, а также сети электросвязи, используемые для организации взаимодействия таких объектов.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Лицо, ответственное за исполнение функций по обеспечению информационной безопасности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–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ответственное лицо для разных типов объектов инфраструктуры, исполняющее требования по обеспечению информационной безопасности. В его обязанности входит фактическая реализация мер защиты информации, в том числе администрирование средств защиты информации.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Нештатная ситуация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— это любое событие, повлекшее за собой отрицательное воздействие на информационный ресурс и/или Общество.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Объект информационной инфраструктуры 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— это объекты 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нформатизации, автоматизированные системы управления, информационные сети, информационные системы, информационные ресурсы, и иные совокупности технических средств, систем и технологий создания, преобразования, передачи, использования и хранения информации.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Объект критической информационной инфраструктуры (объект КИИ) –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информационная система, информационно-телекоммуникационная сеть, автоматизированная система управления, отнесенная к сфере деятельности критической информационной инфраструктуры Общества.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Событие безопасности (информационной)</w:t>
      </w:r>
      <w: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– идентифицированное возникновение состояния объекта, сети электросвязи, используемой для 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рганизации взаимодействия таких объектов, указывающее на возможное нарушение безопасности обрабатываемой таким объектом информации, или сбой средств защиты информации, или ранее неизвестную ситуацию, которая может быть значимой для безопасности информации.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Субъект доступа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лицо (пользователь, администратор) или иная сущность (процесс, учетная запись, носитель информации), выполняющая действие идентификации и аутентификации.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Угроза безопасности информации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– совокупность условий и факторов, создающих потенциальную или реально существующую опасность нарушения безопасности информации.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Эталонный образ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– набор настроек и параметров программного обеспечения, программно-аппаратного комплекса, оборудования, сформированный исходя из его предназначения, основных характеристик и выполняемого функционала.</w:t>
      </w:r>
      <w:r>
        <w:rPr>
          <w:rFonts w:ascii="Times New Roman" w:hAnsi="Times New Roman" w:cs="Times New Roman"/>
          <w:b/>
          <w:sz w:val="28"/>
          <w:szCs w:val="28"/>
        </w:rPr>
        <w:br w:type="page" w:clear="all"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pStyle w:val="980"/>
        <w:numPr>
          <w:ilvl w:val="0"/>
          <w:numId w:val="9"/>
        </w:numPr>
        <w:ind w:hanging="720"/>
        <w:jc w:val="center"/>
        <w:pageBreakBefore/>
        <w:spacing w:after="120"/>
        <w:tabs>
          <w:tab w:val="left" w:pos="357" w:leader="none"/>
          <w:tab w:val="left" w:pos="1418" w:leader="none"/>
        </w:tabs>
        <w:rPr>
          <w:rFonts w:ascii="Times New Roman" w:hAnsi="Times New Roman" w:cs="Times New Roman"/>
          <w:b/>
          <w:sz w:val="28"/>
          <w:szCs w:val="28"/>
        </w:rPr>
        <w:outlineLvl w:val="0"/>
      </w:pPr>
      <w:r/>
      <w:bookmarkStart w:id="2" w:name="_Toc191254330"/>
      <w:r>
        <w:rPr>
          <w:rFonts w:ascii="Times New Roman" w:hAnsi="Times New Roman" w:cs="Times New Roman"/>
          <w:b/>
          <w:sz w:val="28"/>
          <w:szCs w:val="28"/>
        </w:rPr>
        <w:t xml:space="preserve">ОБЩИЕ ПОЛОЖЕНИЯ</w:t>
      </w:r>
      <w:bookmarkEnd w:id="2"/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86"/>
        <w:numPr>
          <w:ilvl w:val="1"/>
          <w:numId w:val="8"/>
        </w:numPr>
        <w:ind w:left="0" w:firstLine="709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Настоящий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егламент обеспечения доступности объектов инфраструктуры (далее –</w:t>
      </w:r>
      <w:r>
        <w:rPr>
          <w:rFonts w:ascii="Times New Roman" w:hAnsi="Times New Roman" w:cs="Times New Roman"/>
          <w:sz w:val="28"/>
          <w:szCs w:val="28"/>
        </w:rPr>
        <w:t xml:space="preserve"> Регламент) определяет правила, требования и процедуры обеспечения доступности объектов инфраструктуры Общества.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1"/>
          <w:numId w:val="8"/>
        </w:numPr>
        <w:ind w:left="0" w:firstLine="709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Целью организации обеспечения доступности объектов инфраструктуры Общества является обеспечение их устойчивого непрерывного функционирования.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86"/>
        <w:numPr>
          <w:ilvl w:val="1"/>
          <w:numId w:val="8"/>
        </w:numPr>
        <w:ind w:left="0" w:firstLine="709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Задачами обеспечения доступности информации являются: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86"/>
        <w:numPr>
          <w:ilvl w:val="1"/>
          <w:numId w:val="10"/>
        </w:numPr>
        <w:ind w:lef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обеспечение процедуры резервного копирования информационных ресурсов Общества;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86"/>
        <w:numPr>
          <w:ilvl w:val="1"/>
          <w:numId w:val="10"/>
        </w:numPr>
        <w:ind w:lef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обеспечение возможности восстановления информационных ресурсов Общества в результате инцидентов, нештатных ситуаций и т.п.;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86"/>
        <w:numPr>
          <w:ilvl w:val="1"/>
          <w:numId w:val="10"/>
        </w:numPr>
        <w:ind w:lef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обеспечение действий при возникновении нештатных ситуаций;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86"/>
        <w:numPr>
          <w:ilvl w:val="1"/>
          <w:numId w:val="10"/>
        </w:numPr>
        <w:ind w:lef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контроль правильности функционирования информационных ресурсов Общества;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86"/>
        <w:numPr>
          <w:ilvl w:val="1"/>
          <w:numId w:val="10"/>
        </w:numPr>
        <w:ind w:lef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снижение вероятности отказа функционирования объекта инфраструктуры;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86"/>
        <w:numPr>
          <w:ilvl w:val="1"/>
          <w:numId w:val="10"/>
        </w:numPr>
        <w:ind w:lef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локализация отказов функционирования объектов инфраструктуры и принятие мер по их восстановлению.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86"/>
        <w:numPr>
          <w:ilvl w:val="1"/>
          <w:numId w:val="8"/>
        </w:numPr>
        <w:ind w:left="0" w:firstLine="709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Обеспечение доступности объектов инфраструктуры является обязательным процессом для всех типов объектов в Обществе.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86"/>
        <w:numPr>
          <w:ilvl w:val="1"/>
          <w:numId w:val="8"/>
        </w:numPr>
        <w:ind w:left="0" w:firstLine="709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Настоящий Регламент предназначен для: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86"/>
        <w:numPr>
          <w:ilvl w:val="0"/>
          <w:numId w:val="31"/>
        </w:numPr>
        <w:ind w:left="0" w:firstLine="709"/>
        <w:jc w:val="both"/>
        <w:spacing w:after="0" w:line="240" w:lineRule="auto"/>
        <w:tabs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специалистов отдела информационной безопасности, отдела сопровождения АСУТП и СДТУ;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86"/>
        <w:numPr>
          <w:ilvl w:val="0"/>
          <w:numId w:val="31"/>
        </w:numPr>
        <w:ind w:left="0" w:firstLine="709"/>
        <w:jc w:val="both"/>
        <w:spacing w:after="0" w:line="240" w:lineRule="auto"/>
        <w:tabs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специалистов, на которых возложены функции по обеспечению информационной безопасности в структурных подразделениях;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86"/>
        <w:numPr>
          <w:ilvl w:val="0"/>
          <w:numId w:val="31"/>
        </w:numPr>
        <w:ind w:left="0" w:firstLine="709"/>
        <w:jc w:val="both"/>
        <w:spacing w:after="0" w:line="240" w:lineRule="auto"/>
        <w:tabs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специалистов подразделений информационных технологий и связи,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подразделений тепловой автоматики и измерений, подразделений автоматизированных систем управления технологическими процессами</w:t>
      </w:r>
      <w:r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в части выполнения требований настоящего Регламента при внедрении (сопровождении) информационных ресурсов;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86"/>
        <w:numPr>
          <w:ilvl w:val="0"/>
          <w:numId w:val="31"/>
        </w:numPr>
        <w:ind w:left="0" w:firstLine="709"/>
        <w:jc w:val="both"/>
        <w:spacing w:after="0" w:line="240" w:lineRule="auto"/>
        <w:tabs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специалистов Сервисной организации в части выполнения требований настоящего Регламента в рамках предоставляемых сервисов;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86"/>
        <w:numPr>
          <w:ilvl w:val="0"/>
          <w:numId w:val="31"/>
        </w:numPr>
        <w:ind w:left="0" w:firstLine="709"/>
        <w:jc w:val="both"/>
        <w:spacing w:after="0" w:line="240" w:lineRule="auto"/>
        <w:tabs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специалистов подрядных организаций, осуществляющих внедрение и (или) сопровождение объектов инфраструктуры, информационных ресурсов и систем (средств) защиты информации.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86"/>
        <w:numPr>
          <w:ilvl w:val="1"/>
          <w:numId w:val="8"/>
        </w:numPr>
        <w:ind w:left="0" w:firstLine="709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Регламент вступает в силу с даты его утверждения Генеральным директором Общества и действует бессрочно.</w:t>
      </w:r>
      <w:r>
        <w:rPr>
          <w:rFonts w:eastAsia="Times New Roman"/>
          <w:sz w:val="28"/>
          <w:szCs w:val="28"/>
          <w:lang w:eastAsia="ru-RU"/>
        </w:rPr>
      </w:r>
      <w:r>
        <w:rPr>
          <w:rFonts w:eastAsia="Times New Roman"/>
          <w:sz w:val="28"/>
          <w:szCs w:val="28"/>
          <w:lang w:eastAsia="ru-RU"/>
        </w:rPr>
      </w:r>
    </w:p>
    <w:p>
      <w:pPr>
        <w:pStyle w:val="986"/>
        <w:numPr>
          <w:ilvl w:val="1"/>
          <w:numId w:val="8"/>
        </w:numPr>
        <w:ind w:left="0" w:firstLine="709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Ответственным за организацию рассмотрения предложений и инициирование внесения изменений в Регламент является отдел информационной безопасности Общества с привлечением работников, ответственных за администрирование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/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сопровождение объектов инфраструктуры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/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информационных ресурсов Общества.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86"/>
        <w:numPr>
          <w:ilvl w:val="1"/>
          <w:numId w:val="8"/>
        </w:numPr>
        <w:ind w:left="0" w:firstLine="709"/>
        <w:jc w:val="both"/>
        <w:spacing w:after="0" w:line="240" w:lineRule="auto"/>
        <w:tabs>
          <w:tab w:val="left" w:pos="357" w:leader="none"/>
          <w:tab w:val="left" w:pos="426" w:leader="none"/>
          <w:tab w:val="left" w:pos="1418" w:leader="none"/>
        </w:tabs>
        <w:rPr>
          <w:rFonts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Изменения в настоящий Регламент подлежат утверждению в соответствии с порядком,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определяемым ЛНД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(А) Общества.</w:t>
      </w:r>
      <w:r>
        <w:rPr>
          <w:rFonts w:eastAsia="Times New Roman"/>
          <w:sz w:val="28"/>
          <w:szCs w:val="28"/>
          <w:lang w:eastAsia="ru-RU"/>
        </w:rPr>
      </w:r>
      <w:r>
        <w:rPr>
          <w:rFonts w:eastAsia="Times New Roman"/>
          <w:sz w:val="28"/>
          <w:szCs w:val="28"/>
          <w:lang w:eastAsia="ru-RU"/>
        </w:rPr>
      </w:r>
    </w:p>
    <w:p>
      <w:pPr>
        <w:pStyle w:val="980"/>
        <w:numPr>
          <w:ilvl w:val="0"/>
          <w:numId w:val="9"/>
        </w:numPr>
        <w:ind w:hanging="720"/>
        <w:jc w:val="center"/>
        <w:pageBreakBefore/>
        <w:spacing w:after="120"/>
        <w:tabs>
          <w:tab w:val="left" w:pos="357" w:leader="none"/>
          <w:tab w:val="left" w:pos="1418" w:leader="none"/>
        </w:tabs>
        <w:rPr>
          <w:rFonts w:ascii="Times New Roman" w:hAnsi="Times New Roman" w:cs="Times New Roman"/>
          <w:b/>
          <w:sz w:val="28"/>
          <w:szCs w:val="28"/>
        </w:rPr>
        <w:outlineLvl w:val="0"/>
      </w:pPr>
      <w:r/>
      <w:bookmarkStart w:id="3" w:name="_Toc191254331"/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ПРОЦЕДУРЫ </w:t>
      </w:r>
      <w:r>
        <w:rPr>
          <w:rFonts w:ascii="Times New Roman" w:hAnsi="Times New Roman" w:cs="Times New Roman"/>
          <w:b/>
          <w:sz w:val="28"/>
          <w:szCs w:val="28"/>
        </w:rPr>
        <w:t xml:space="preserve">ОБЕСПЕЧЕНИЯ ДОСТУПНОСТИ</w:t>
      </w:r>
      <w:bookmarkEnd w:id="3"/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tabs>
          <w:tab w:val="left" w:pos="426" w:leader="none"/>
          <w:tab w:val="left" w:pos="1418" w:leader="none"/>
        </w:tabs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Обеспечение доступности объектов инфраструктуры Общества достигается за счет выполнения следующих процедур:</w:t>
      </w:r>
      <w:r/>
    </w:p>
    <w:p>
      <w:pPr>
        <w:pStyle w:val="986"/>
        <w:numPr>
          <w:ilvl w:val="0"/>
          <w:numId w:val="31"/>
        </w:numPr>
        <w:ind w:left="0" w:firstLine="709"/>
        <w:jc w:val="both"/>
        <w:spacing w:after="0" w:line="240" w:lineRule="auto"/>
        <w:tabs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резервирование средств, систем, каналов связи;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86"/>
        <w:numPr>
          <w:ilvl w:val="0"/>
          <w:numId w:val="31"/>
        </w:numPr>
        <w:ind w:left="0" w:firstLine="709"/>
        <w:jc w:val="both"/>
        <w:spacing w:after="0" w:line="240" w:lineRule="auto"/>
        <w:tabs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контроль безотказного функционирования средств и систем;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86"/>
        <w:numPr>
          <w:ilvl w:val="0"/>
          <w:numId w:val="31"/>
        </w:numPr>
        <w:ind w:left="0" w:firstLine="709"/>
        <w:jc w:val="both"/>
        <w:spacing w:after="0" w:line="240" w:lineRule="auto"/>
        <w:tabs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резервное копирование информации;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86"/>
        <w:numPr>
          <w:ilvl w:val="0"/>
          <w:numId w:val="31"/>
        </w:numPr>
        <w:ind w:left="0" w:firstLine="709"/>
        <w:jc w:val="both"/>
        <w:spacing w:after="0" w:line="240" w:lineRule="auto"/>
        <w:tabs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обеспечение возможности восстановления информации;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86"/>
        <w:numPr>
          <w:ilvl w:val="0"/>
          <w:numId w:val="31"/>
        </w:numPr>
        <w:ind w:left="0" w:firstLine="709"/>
        <w:jc w:val="both"/>
        <w:spacing w:after="0" w:line="240" w:lineRule="auto"/>
        <w:tabs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обеспечение возможности восстановления работоспособности объекта инфраструктуры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/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информационного ресурса.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86"/>
        <w:numPr>
          <w:ilvl w:val="1"/>
          <w:numId w:val="9"/>
        </w:numPr>
        <w:ind w:lef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Резервирование средств, систем, каналов связи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86"/>
        <w:numPr>
          <w:ilvl w:val="2"/>
          <w:numId w:val="19"/>
        </w:numPr>
        <w:ind w:left="0" w:firstLine="708"/>
        <w:jc w:val="both"/>
        <w:spacing w:line="240" w:lineRule="auto"/>
        <w:tabs>
          <w:tab w:val="left" w:pos="426" w:leader="none"/>
          <w:tab w:val="left" w:pos="1418" w:leader="none"/>
        </w:tabs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Перечень объектов инфраструктуры, для которых должно осуществляться резервирование технических средств, каналов передачи информации и средств обеспечения функционирования определяется специалистами, ответственными за функционирование объектов, исходя из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требуемых условий обеспечения непрерывности функционирования объекта.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6"/>
        <w:numPr>
          <w:ilvl w:val="2"/>
          <w:numId w:val="19"/>
        </w:numPr>
        <w:ind w:left="0" w:firstLine="708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Резервирование технических средств включает ненагруженное ("холодное") и (или) нагруженное ("горячее") резервирование.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Определение типа резервирования осуществляют </w:t>
      </w:r>
      <w:r>
        <w:rPr>
          <w:rFonts w:ascii="Times New Roman" w:hAnsi="Times New Roman" w:cs="Times New Roman"/>
          <w:sz w:val="28"/>
          <w:szCs w:val="28"/>
        </w:rPr>
        <w:t xml:space="preserve">специалисты,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ответственные за администрирование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/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сопровождение объекта инфраструктуры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/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информационного ресурса</w:t>
      </w:r>
      <w:r>
        <w:rPr>
          <w:rFonts w:ascii="Times New Roman" w:hAnsi="Times New Roman" w:cs="Times New Roman"/>
          <w:sz w:val="28"/>
          <w:szCs w:val="28"/>
        </w:rPr>
        <w:t xml:space="preserve"> совместно со специалистами,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 которых возложены функции по обеспечению информационной безопасности в структурных подразделениях.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pStyle w:val="986"/>
        <w:numPr>
          <w:ilvl w:val="2"/>
          <w:numId w:val="19"/>
        </w:numPr>
        <w:ind w:left="0" w:firstLine="708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Резервирование каналов передачи информации предусматривает наличие основных и альтернативных поставщиков телекоммуникационных услуг (провайдеров), обеспечивающее снижение вероятности отказа в доступе к объекту инфраструктуры.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pStyle w:val="986"/>
        <w:numPr>
          <w:ilvl w:val="2"/>
          <w:numId w:val="19"/>
        </w:numPr>
        <w:ind w:left="0" w:firstLine="708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Резервирование средств обеспечения функционирования включает: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pStyle w:val="986"/>
        <w:numPr>
          <w:ilvl w:val="0"/>
          <w:numId w:val="31"/>
        </w:numPr>
        <w:ind w:left="0" w:firstLine="709"/>
        <w:jc w:val="both"/>
        <w:spacing w:after="0" w:line="240" w:lineRule="auto"/>
        <w:tabs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использование кратковременных резервных источников питания для обеспечения правильного (корректного) завершения работы объекта инфраструктуры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/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информационного ресурса в случае отключения основного источника питания;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86"/>
        <w:numPr>
          <w:ilvl w:val="0"/>
          <w:numId w:val="31"/>
        </w:numPr>
        <w:ind w:left="0" w:firstLine="709"/>
        <w:jc w:val="both"/>
        <w:spacing w:after="0" w:line="240" w:lineRule="auto"/>
        <w:tabs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использование долговременных резервных источников питания в случае длительного отключения основного источника питания и необходимости продолжения выполнения объектом инфраструктуры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/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информационным ресурсом установленных функциональных (задач).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88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Определение типа используемого резервного источника питания (кратковременного или долговременного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специалистами,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ответственными за администрирование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/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сопровождение объекта инфраструктуры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/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информационного ресурса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6"/>
        <w:numPr>
          <w:ilvl w:val="1"/>
          <w:numId w:val="9"/>
        </w:numPr>
        <w:ind w:lef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безотказного функционирования средств и систем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142" w:firstLine="567"/>
        <w:jc w:val="both"/>
        <w:spacing w:line="240" w:lineRule="auto"/>
        <w:tabs>
          <w:tab w:val="left" w:pos="426" w:leader="none"/>
          <w:tab w:val="left" w:pos="1418" w:leader="none"/>
        </w:tabs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Контроль безотказного функционирования проводится в отношении серверного и телекоммуникационного оборудования, каналов связи, средств обеспечения функционирования объекта инфраструктуры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/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информационного ресурса.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142" w:firstLine="567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Контроль функционирования проводится на ежедневной основе ответственным за администрирование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/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сопровождение объекта инфраструктуры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/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информационного ресурса. Проверка проводится путем отправки тестовых сообщений и принятия «ответов», визуального контроля, контроля трафика, анализа «поведения» системы или иными методами, предусмотренными эксплуатационной документацией.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142" w:firstLine="567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Для оценки текущего состояния объектов инфраструктуры в режиме, близком к реальному времени, должны использоваться автоматизированные системы мониторинга. Системы мониторинга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должны обеспечивать незамедлительное предупреждение (индикация, сигнализация) ответственных за администрирование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/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сопровождение объекта инфраструктуры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/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информационного ресурса.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142" w:firstLine="567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Настройку и сопровождение систем мониторинга осуществляют специалисты Сервисной организации.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Доступ к системам мониторинга предоставляется Сервисной организацией ограниченному кругу лиц для выполнения должностных обязанностей.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142" w:firstLine="567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 выявлении фактов нарушения функционирования объекта инфраструктуры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/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информационного ресурса производится восстановление его работоспособности в соответствии с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п.п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. 2.4.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pStyle w:val="986"/>
        <w:numPr>
          <w:ilvl w:val="1"/>
          <w:numId w:val="9"/>
        </w:numPr>
        <w:ind w:lef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Резервное копирование информации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142" w:firstLine="567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Резервному копированию подлежит следующий перечень информации, обрабатываемый объектами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/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информационными ресурсами Общества: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0"/>
          <w:numId w:val="20"/>
        </w:numPr>
        <w:ind w:lef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коммерческая тайна;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0"/>
          <w:numId w:val="20"/>
        </w:numPr>
        <w:ind w:lef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служебная тайна;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0"/>
          <w:numId w:val="20"/>
        </w:numPr>
        <w:ind w:lef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персональные данные работников;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0"/>
          <w:numId w:val="20"/>
        </w:numPr>
        <w:ind w:lef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конфигурации программного обеспечения;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0"/>
          <w:numId w:val="20"/>
        </w:numPr>
        <w:ind w:lef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конфигурации сетевого оборудования;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0"/>
          <w:numId w:val="20"/>
        </w:numPr>
        <w:ind w:lef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конфигурации средств защиты информации;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0"/>
          <w:numId w:val="20"/>
        </w:numPr>
        <w:ind w:lef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иная конфиденциальная информация, не подходящая под категории, описанные выше.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142" w:firstLine="567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Для разных типов объектов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/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информационных ресурсов устанавливается разная глубина и периодичность проведения резервного копирования.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142" w:firstLine="567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Резервирование баз данных проводится в их полном объеме, глубина хранения – не менее двух архивов.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Резервирование виртуальных машин проводится в их полном объеме, глубина хранения – не менее двух архивов.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Резервное копирование защищаемой информации проводится в составе мероприятий резервирования объектов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/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информационных ресурсов. Наиболее критичная информация, в том числе конфигурации ПО, конфигурации сетевого оборудования, конфигурации средств защиты информации, может проводиться отдельно посредством ручного сбора информации.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0" w:right="0" w:firstLine="709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Настоящим Регламентом устанавливается следующая периодичность резервного копирования: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0"/>
          <w:numId w:val="20"/>
        </w:numPr>
        <w:ind w:left="0" w:righ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резервное копирование баз данных проводится не реже раза в неделю;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0"/>
          <w:numId w:val="20"/>
        </w:numPr>
        <w:ind w:left="0" w:righ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резервное копирование виртуальных машин проводится не реже раза в неделю;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0"/>
          <w:numId w:val="20"/>
        </w:numPr>
        <w:ind w:left="0" w:righ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резервное копирование наиболее критичной информации осуществляется ежедневно.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0"/>
          <w:numId w:val="20"/>
        </w:numPr>
        <w:ind w:left="0" w:righ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резервное копирование конфигураций программного обеспечения и средств защиты информации проводится не реже раза в неделю.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0" w:right="0" w:firstLine="709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Процедуры резервного копирования выполняются сотрудниками Сервисной организации и/или работниками Общества, ответственными за администрирование</w:t>
      </w:r>
      <w:r>
        <w:rPr>
          <w:rFonts w:ascii="Times New Roman" w:hAnsi="Times New Roman" w:cs="Times New Roman"/>
          <w:sz w:val="28"/>
          <w:szCs w:val="28"/>
        </w:rPr>
        <w:t xml:space="preserve">/</w:t>
      </w:r>
      <w:r>
        <w:rPr>
          <w:rFonts w:ascii="Times New Roman" w:hAnsi="Times New Roman" w:cs="Times New Roman"/>
          <w:sz w:val="28"/>
          <w:szCs w:val="28"/>
        </w:rPr>
        <w:t xml:space="preserve">сопровождение объекта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/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информационного ресурса с помощью специализированных средств резервного копирования, либо встроенных средств объектов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/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информационных ресурсов Общества.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0" w:right="0" w:firstLine="709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После разворачивания нового ПО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программно-аппаратного комплекса, сетевого оборудования, средств защиты информации создается их эталонный образ для дальнейшего разворачивания.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0" w:right="0" w:firstLine="709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Не реже одного раза в квартал проводится антивирусная проверка эталонного образа и проверка его работоспособности.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0" w:right="0" w:firstLine="709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Обществом ведется учет и хранение эталонных образов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информационных ресурсов Общества.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0" w:right="0" w:firstLine="709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Обществом ведется учет и хранение эталонных дистрибутивов программного обеспечения и средств защиты информации.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0" w:right="0" w:firstLine="709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Для обеспечения восстановления создаваемые резервные копии должны храниться в разных местах.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0" w:right="0" w:firstLine="709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мероприятий резервного копирования возлагается на работников,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ответственных за администрирование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/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сопровождение объекта инфраструктуры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/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информационного ресурса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0" w:right="0" w:firstLine="709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Отдел информационной безопасности Общества осуществляет контроль исполнения мероприятий по резервному копированию в рамках проведения внутреннего контроля состояния системы защиты информации.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1"/>
          <w:numId w:val="9"/>
        </w:numPr>
        <w:ind w:left="0" w:righ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Обеспечение возможности восстановления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0" w:right="0" w:firstLine="709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Восстановление защищаемой информации из резервных копий проводится в случаях повреждения баз данных, утраты защищаемой информации, несанкционированной модификации защищаемой информации, возникновении нештатных ситуаций и иных случаях такой необходимости.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0" w:right="0" w:firstLine="709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В случаях утраты работоспособности объектов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/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информационных ресурсов, восстановление их работоспособности производится с использованием резервных копий, а также эталонных дистрибутивов и образов.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0" w:right="0" w:firstLine="709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Конфигурации программного, программно-аппаратного обеспечения, средств защиты информации защищаемых информационных </w:t>
      </w:r>
      <w:r>
        <w:rPr>
          <w:rFonts w:ascii="Times New Roman" w:hAnsi="Times New Roman" w:cs="Times New Roman"/>
          <w:sz w:val="28"/>
          <w:szCs w:val="28"/>
        </w:rPr>
        <w:t xml:space="preserve">ресурсов Общества восстанавливаются из резервных копий, либо в соответствии с актуальными стандартами конфигураций соответствующего программного обеспечения Общества.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0" w:right="0" w:firstLine="709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Восстановление работоспособности объектов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/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информационных ресурсов осуществляется ответственными за администрирование</w:t>
      </w:r>
      <w:r>
        <w:rPr>
          <w:rFonts w:ascii="Times New Roman" w:hAnsi="Times New Roman" w:cs="Times New Roman"/>
          <w:sz w:val="28"/>
          <w:szCs w:val="28"/>
        </w:rPr>
        <w:t xml:space="preserve">/</w:t>
      </w:r>
      <w:r>
        <w:rPr>
          <w:rFonts w:ascii="Times New Roman" w:hAnsi="Times New Roman" w:cs="Times New Roman"/>
          <w:sz w:val="28"/>
          <w:szCs w:val="28"/>
        </w:rPr>
        <w:t xml:space="preserve">сопровождение объекта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/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информационного ресурса. При необходимости к процессу восстановления привлекаются специалисты смежных направлений (в том числе Сервисной организации, а также организаций, оказывающих техническую поддержку</w:t>
      </w:r>
      <w:r>
        <w:rPr>
          <w:rFonts w:ascii="Times New Roman" w:hAnsi="Times New Roman" w:cs="Times New Roman"/>
          <w:sz w:val="28"/>
          <w:szCs w:val="28"/>
        </w:rPr>
        <w:t xml:space="preserve">/</w:t>
      </w:r>
      <w:r>
        <w:rPr>
          <w:rFonts w:ascii="Times New Roman" w:hAnsi="Times New Roman" w:cs="Times New Roman"/>
          <w:sz w:val="28"/>
          <w:szCs w:val="28"/>
        </w:rPr>
        <w:t xml:space="preserve">сопровождение восстанавливаемых объектов</w:t>
      </w:r>
      <w:r>
        <w:rPr>
          <w:rFonts w:ascii="Times New Roman" w:hAnsi="Times New Roman" w:cs="Times New Roman"/>
          <w:sz w:val="28"/>
          <w:szCs w:val="28"/>
        </w:rPr>
        <w:t xml:space="preserve">/</w:t>
      </w:r>
      <w:r>
        <w:rPr>
          <w:rFonts w:ascii="Times New Roman" w:hAnsi="Times New Roman" w:cs="Times New Roman"/>
          <w:sz w:val="28"/>
          <w:szCs w:val="28"/>
        </w:rPr>
        <w:t xml:space="preserve">ресурсов).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0" w:right="0" w:firstLine="709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Резервные коп</w:t>
      </w:r>
      <w:r>
        <w:rPr>
          <w:rFonts w:ascii="Times New Roman" w:hAnsi="Times New Roman" w:cs="Times New Roman"/>
          <w:sz w:val="28"/>
          <w:szCs w:val="28"/>
        </w:rPr>
        <w:t xml:space="preserve">ии, используемые для восстановления работоспособности, должны обеспечивать возможность восстановления в самые кратчайшие сроки. Для этого должна проводиться периодическая проверка корректности их создания, а также возможности восстановления с помощью них.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2"/>
          <w:numId w:val="21"/>
        </w:numPr>
        <w:ind w:left="0" w:right="0" w:firstLine="709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Учитывая разнородность объектов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/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информационных ресурсов, регламентный срок восстановления для каждого устанавливается отдельно, исходя из требуемых условий обеспечения непрерывности функционирования и возможного простоя.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1"/>
          <w:numId w:val="9"/>
        </w:numPr>
        <w:ind w:lef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Особенности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обеспечения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доступности в различных сегментах сети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0" w:firstLine="709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Обеспечение доступности объектов инфраструктуры корпоративного и технологического сегмента не имеет характерных особенностей, и проводится в соответствии с п.п. 2.1-2.4.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0" w:firstLine="709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Обеспечение доступности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АСУ ТП имеет следующие отличительные признаки: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0"/>
          <w:numId w:val="31"/>
        </w:numPr>
        <w:ind w:left="0" w:firstLine="709"/>
        <w:jc w:val="both"/>
        <w:spacing w:after="0" w:line="240" w:lineRule="auto"/>
        <w:tabs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мероприятия по обеспечению доступности объектов АСУ ТП осуществляют специалисты (подразделения), ответственные за их функционирование;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86"/>
        <w:numPr>
          <w:ilvl w:val="0"/>
          <w:numId w:val="31"/>
        </w:numPr>
        <w:ind w:left="0" w:firstLine="709"/>
        <w:jc w:val="both"/>
        <w:spacing w:after="0" w:line="240" w:lineRule="auto"/>
        <w:tabs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перечень объектов, подлежащих рез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ервному копированию, глубина резервного копирования, а также периодичность резервного копирования определяется ответственными за функционирование объектов АСУ ТП, исходя из особенностей технологического процесса (в том числе частоте обновления конфигураций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/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состояний объекта), требований к обеспечению его непрерывного функционирования. Для разных компонентов АСУ ТП периодичность резервного копирования может быть установлена своя, но не реже 1 раза в год.;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86"/>
        <w:numPr>
          <w:ilvl w:val="0"/>
          <w:numId w:val="31"/>
        </w:numPr>
        <w:ind w:left="0" w:firstLine="709"/>
        <w:jc w:val="both"/>
        <w:spacing w:after="0" w:line="240" w:lineRule="auto"/>
        <w:tabs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резервное копирование может производиться автоматически с помощью специализированного программного обеспечения (при его наличии и технической возможности использования), либо с помощью ручного сбора информации. При провед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ении резервного копирования в ручном режиме должен быть разработан и утвержден график проведения резервного копирования с отметками о выполнении мероприятий. Допускается включать мероприятия по резервному копированию в график проведения регламентных работ;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86"/>
        <w:numPr>
          <w:ilvl w:val="0"/>
          <w:numId w:val="31"/>
        </w:numPr>
        <w:ind w:left="0" w:firstLine="709"/>
        <w:jc w:val="both"/>
        <w:spacing w:after="0" w:line="240" w:lineRule="auto"/>
        <w:tabs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хранение резервных копий должно осуществляться на отчуждаемых носителях информации в отдельных от основного оборудования помещений (принцип территориальной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распределенности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80"/>
        <w:numPr>
          <w:ilvl w:val="0"/>
          <w:numId w:val="9"/>
        </w:numPr>
        <w:ind w:hanging="720"/>
        <w:jc w:val="center"/>
        <w:pageBreakBefore/>
        <w:spacing w:after="120"/>
        <w:tabs>
          <w:tab w:val="left" w:pos="357" w:leader="none"/>
          <w:tab w:val="left" w:pos="1418" w:leader="none"/>
        </w:tabs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/>
      <w:bookmarkStart w:id="4" w:name="_Toc191254332"/>
      <w:r>
        <w:rPr>
          <w:rFonts w:ascii="Times New Roman" w:hAnsi="Times New Roman" w:cs="Times New Roman"/>
          <w:b/>
          <w:bCs/>
          <w:sz w:val="28"/>
          <w:szCs w:val="28"/>
        </w:rPr>
        <w:t xml:space="preserve">ОБЕСПЕЧЕНИЕ ДЕЙСТВИЙ В НЕШТАТНЫХ СИТУАЦИЯХ</w:t>
      </w:r>
      <w:bookmarkEnd w:id="4"/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86"/>
        <w:numPr>
          <w:ilvl w:val="1"/>
          <w:numId w:val="9"/>
        </w:numPr>
        <w:ind w:lef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данного Регламента под нештатной ситуацией понимается сочетание условий и обстоятельств при эксплуатации объектов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/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информационных ресурсов, отличающихся от предусмотренных проектной и эксплуатационной документацией, и приводящих к нарушению их функционирования, а также аварийным ситуациям.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1"/>
          <w:numId w:val="9"/>
        </w:numPr>
        <w:ind w:lef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эффективного реагирования на возникновение нештатных ситуаций должны проводиться следующие мероприятия: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0"/>
          <w:numId w:val="47"/>
        </w:numPr>
        <w:ind w:lef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подготовка планов действий в нештатных ситуациях;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0"/>
          <w:numId w:val="47"/>
        </w:numPr>
        <w:ind w:lef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обучение и отработка действий персонала при возникновении нештатных ситуациях;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0"/>
          <w:numId w:val="47"/>
        </w:numPr>
        <w:ind w:lef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резервных копий программного обеспечения, баз данных информационных систем, информационных ресурсов в целом и наиболее критичной защищаемой информации;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0"/>
          <w:numId w:val="47"/>
        </w:numPr>
        <w:ind w:lef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доступности объектов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/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информационных ресурсов посредством резервных каналов связи;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0"/>
          <w:numId w:val="47"/>
        </w:numPr>
        <w:ind w:left="0" w:firstLine="709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возможности восстановления работоспособности объектов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/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информационных ресурсов.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мероприятий, предусмотренных </w:t>
      </w:r>
      <w:r>
        <w:rPr>
          <w:rFonts w:ascii="Times New Roman" w:hAnsi="Times New Roman" w:cs="Times New Roman"/>
          <w:sz w:val="28"/>
          <w:szCs w:val="28"/>
        </w:rPr>
        <w:t xml:space="preserve">п.п</w:t>
      </w:r>
      <w:r>
        <w:rPr>
          <w:rFonts w:ascii="Times New Roman" w:hAnsi="Times New Roman" w:cs="Times New Roman"/>
          <w:sz w:val="28"/>
          <w:szCs w:val="28"/>
        </w:rPr>
        <w:t xml:space="preserve">. в) - д), описано в разделе 2 настоящего Регламента.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1"/>
          <w:numId w:val="9"/>
        </w:numPr>
        <w:ind w:lef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Действия при возникновении нештатной ситуации зависят от типа объекта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/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информационного ресурса, зафиксированной нештатной ситуации, требований к непрерывному функционированию и т.п.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0" w:firstLine="709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действий при возникновении нештатной ситуации определяется ответственным за функционирование (администрирование</w:t>
      </w:r>
      <w:r>
        <w:rPr>
          <w:rFonts w:ascii="Times New Roman" w:hAnsi="Times New Roman" w:cs="Times New Roman"/>
          <w:sz w:val="28"/>
          <w:szCs w:val="28"/>
        </w:rPr>
        <w:t xml:space="preserve">/</w:t>
      </w:r>
      <w:r>
        <w:rPr>
          <w:rFonts w:ascii="Times New Roman" w:hAnsi="Times New Roman" w:cs="Times New Roman"/>
          <w:sz w:val="28"/>
          <w:szCs w:val="28"/>
        </w:rPr>
        <w:t xml:space="preserve"> сопровождение) объекта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/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информационного ресурса.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общем виде порядок действий при возникновении нештатной ситуации следующий: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0"/>
          <w:numId w:val="53"/>
        </w:numPr>
        <w:ind w:left="0" w:firstLine="992"/>
        <w:jc w:val="both"/>
        <w:spacing w:after="0" w:line="240" w:lineRule="auto"/>
        <w:tabs>
          <w:tab w:val="left" w:pos="426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Специалист, обнаруживший нештатную ситуацию, должен незамедлительно поставить в известность ответственных за функционирование (администрирование</w:t>
      </w:r>
      <w:r>
        <w:rPr>
          <w:rFonts w:ascii="Times New Roman" w:hAnsi="Times New Roman" w:cs="Times New Roman"/>
          <w:sz w:val="28"/>
          <w:szCs w:val="28"/>
        </w:rPr>
        <w:t xml:space="preserve">/</w:t>
      </w:r>
      <w:r>
        <w:rPr>
          <w:rFonts w:ascii="Times New Roman" w:hAnsi="Times New Roman" w:cs="Times New Roman"/>
          <w:sz w:val="28"/>
          <w:szCs w:val="28"/>
        </w:rPr>
        <w:t xml:space="preserve"> сопровождение) соответствующего объекта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/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информационного ресурса.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0"/>
          <w:numId w:val="53"/>
        </w:numPr>
        <w:ind w:left="0" w:firstLine="992"/>
        <w:jc w:val="both"/>
        <w:spacing w:after="0" w:line="240" w:lineRule="auto"/>
        <w:tabs>
          <w:tab w:val="left" w:pos="426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Ответственные за функционирование должны проанализировать пред</w:t>
      </w:r>
      <w:r>
        <w:rPr>
          <w:rFonts w:ascii="Times New Roman" w:hAnsi="Times New Roman" w:cs="Times New Roman"/>
          <w:sz w:val="28"/>
          <w:szCs w:val="28"/>
        </w:rPr>
        <w:t xml:space="preserve">оставленную информацию, осуществить сбор дополнительных данных (при необходимости), и на основе полученных данных приступить к купированию (реагированию) нештатной ситуации. При необходимости провести восстановление работоспособности объекта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/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информационного ресурса.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зависимости от критичности объекта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/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информационного ресурса возможно сначала восстановление его работоспособности, а затем сбор информации о возникшей нештатной ситуации.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0"/>
          <w:numId w:val="53"/>
        </w:numPr>
        <w:ind w:left="0" w:firstLine="992"/>
        <w:jc w:val="both"/>
        <w:spacing w:after="0" w:line="240" w:lineRule="auto"/>
        <w:tabs>
          <w:tab w:val="left" w:pos="426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нештатная ситуация имеет признаки компьютерного инцидента, то необходимо незамедлительно поставить в известность ответственных за выявление компьютерных инцидентов и отдел информационной безопасности. </w:t>
      </w:r>
      <w:r>
        <w:rPr>
          <w:rFonts w:ascii="Times New Roman" w:hAnsi="Times New Roman" w:cs="Times New Roman"/>
          <w:sz w:val="28"/>
          <w:szCs w:val="28"/>
        </w:rPr>
        <w:t xml:space="preserve">Дальнейшее реагирование осуществлять в соответствии с Регламентом выявления компьютерных инцидентов.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0"/>
          <w:numId w:val="53"/>
        </w:numPr>
        <w:ind w:left="0" w:firstLine="992"/>
        <w:jc w:val="both"/>
        <w:spacing w:after="0" w:line="240" w:lineRule="auto"/>
        <w:tabs>
          <w:tab w:val="left" w:pos="426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анализа возникшей нештатной ситуации, определение и реализация мероприятий по недопущению ее повторного возникновения.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собранных по результатам анализа возникших нештатных ситуаций сведений могут подготавливаться: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0"/>
          <w:numId w:val="62"/>
        </w:numPr>
        <w:ind w:left="0" w:firstLine="709"/>
        <w:jc w:val="both"/>
        <w:spacing w:after="0"/>
        <w:tabs>
          <w:tab w:val="left" w:pos="42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рекомендации по предотвращению последствий нештатных ситуаций;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0"/>
          <w:numId w:val="62"/>
        </w:numPr>
        <w:ind w:left="0" w:firstLine="709"/>
        <w:jc w:val="both"/>
        <w:spacing w:after="0"/>
        <w:tabs>
          <w:tab w:val="left" w:pos="42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по оптимизации Плана действий и отработке действий в нештатных ситуациях;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0"/>
          <w:numId w:val="62"/>
        </w:numPr>
        <w:ind w:left="0" w:firstLine="709"/>
        <w:jc w:val="both"/>
        <w:spacing w:after="0"/>
        <w:tabs>
          <w:tab w:val="left" w:pos="42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по совершенствованию информационных ресурсов и их компонентов.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0"/>
          <w:numId w:val="62"/>
        </w:numPr>
        <w:ind w:left="0" w:firstLine="709"/>
        <w:jc w:val="both"/>
        <w:spacing w:after="0"/>
        <w:tabs>
          <w:tab w:val="left" w:pos="42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 рекомендации и предложения по предотвращению повторного возникновения нештатных ситуаций.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возникновение нештатной ситуации зафиксировано на значимом объекте критической информационной инфраст</w:t>
      </w:r>
      <w:r>
        <w:rPr>
          <w:rFonts w:ascii="Times New Roman" w:hAnsi="Times New Roman" w:cs="Times New Roman"/>
          <w:sz w:val="28"/>
          <w:szCs w:val="28"/>
        </w:rPr>
        <w:t xml:space="preserve">руктуры, специалистом, на которого возложены функции по обеспечению ИБ, дополнительно должна быть осуществлена регистрация факта ее возникновения в соответствующем журнале (за исключением случаев, когда нештатная ситуация признана компьютерным инцидентом).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значимых объектов критической информационной инфраструктуры ответственными за функционирование (администрирование</w:t>
      </w:r>
      <w:r>
        <w:rPr>
          <w:rFonts w:ascii="Times New Roman" w:hAnsi="Times New Roman" w:cs="Times New Roman"/>
          <w:sz w:val="28"/>
          <w:szCs w:val="28"/>
        </w:rPr>
        <w:t xml:space="preserve">/</w:t>
      </w:r>
      <w:r>
        <w:rPr>
          <w:rFonts w:ascii="Times New Roman" w:hAnsi="Times New Roman" w:cs="Times New Roman"/>
          <w:sz w:val="28"/>
          <w:szCs w:val="28"/>
        </w:rPr>
        <w:t xml:space="preserve"> сопровождение) соответствующего объекта совместно со специалистом, на которого возложены функции по обеспечению ИБ, должны быть разработаны планы действий в нештатных ситуациях.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0" w:firstLine="709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действий, разрабатываемый в ходе подготовки к возникновению нештатных ситуаций, должен содержать: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0"/>
          <w:numId w:val="24"/>
        </w:numPr>
        <w:ind w:lef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примеры возможных нештатных ситуаций;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0"/>
          <w:numId w:val="24"/>
        </w:numPr>
        <w:ind w:lef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состав, порядок, сроки выполнения действий по реагированию на нештатные ситуации;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0"/>
          <w:numId w:val="24"/>
        </w:numPr>
        <w:ind w:left="0" w:firstLine="709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участников процедур реагирования на нештатные ситуации и их роли.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Подготовленный План действий утверждается главным инженером и доводится до подразделений (работников) в части их касающейся.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0" w:firstLine="709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действий подлежит пересмотру на плановой и внеплановой основе.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Плановый пересмотр проводится по результатам обучения и отработки действий работников в нештатных ситуациях, связанных с информационной безопасностью, не реже 1 (одного) раза в год.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Внеплановый пересмотр может проводиться при изменениях структурно-функциональных характеристик и особенностей функционирования информационных ресурсов, а также по результатам анализа возникших нештатных ситуаций.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0" w:firstLine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Обучение и отработка действий персонала при возникновении нештатных ситуаций проводится не реже 1 (одного) раза в год в целях повышения осведомленности персонала и оценки его готовности к нештатным ситуациям.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0" w:firstLine="709"/>
        <w:jc w:val="both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обучения и отработки действий разрабатывается и утверждается план-график (план-программа) отработки действий при возникновен</w:t>
      </w:r>
      <w:r>
        <w:rPr>
          <w:rFonts w:ascii="Times New Roman" w:hAnsi="Times New Roman" w:cs="Times New Roman"/>
          <w:sz w:val="28"/>
          <w:szCs w:val="28"/>
        </w:rPr>
        <w:t xml:space="preserve">ии нештатных ситуаций и восстановлению работоспособности. План-график (план-программа) разрабатывается специалистами, на которых возложены функции по обеспечению информационной безопасности, совместно с ответственными за функционирование (администрирование</w:t>
      </w:r>
      <w:r>
        <w:rPr>
          <w:rFonts w:ascii="Times New Roman" w:hAnsi="Times New Roman" w:cs="Times New Roman"/>
          <w:sz w:val="28"/>
          <w:szCs w:val="28"/>
        </w:rPr>
        <w:t xml:space="preserve">/</w:t>
      </w:r>
      <w:r>
        <w:rPr>
          <w:rFonts w:ascii="Times New Roman" w:hAnsi="Times New Roman" w:cs="Times New Roman"/>
          <w:sz w:val="28"/>
          <w:szCs w:val="28"/>
        </w:rPr>
        <w:t xml:space="preserve"> сопровождение) объектов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/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информационных ресурсов. План-график </w:t>
      </w:r>
      <w:r>
        <w:rPr>
          <w:rFonts w:ascii="Times New Roman" w:hAnsi="Times New Roman" w:cs="Times New Roman"/>
          <w:sz w:val="28"/>
          <w:szCs w:val="28"/>
        </w:rPr>
        <w:t xml:space="preserve">(план-программа) утверждается главным инженером. Допускается включение мероприятий по отработке действий при возникновении нештатных ситуаций и восстановлению работоспособности в структурных подразделениях существующие планы по противоаварийной подготовке.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0" w:firstLine="709"/>
        <w:jc w:val="both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Разрабатываемый план-график (план-программа) должен учитывать возникновение нештатных ситуаций на всех критичных объектах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/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информационных ресурсах.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0" w:firstLine="709"/>
        <w:jc w:val="both"/>
        <w:spacing w:after="0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проведения мероприятий по отработке действий составляется акт (отчет) о проведении, содержащий: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0"/>
          <w:numId w:val="62"/>
        </w:numPr>
        <w:ind w:left="0" w:firstLine="709"/>
        <w:jc w:val="both"/>
        <w:spacing w:after="0"/>
        <w:tabs>
          <w:tab w:val="left" w:pos="42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дату и место проведения;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0"/>
          <w:numId w:val="62"/>
        </w:numPr>
        <w:ind w:left="0" w:firstLine="709"/>
        <w:jc w:val="both"/>
        <w:spacing w:after="0"/>
        <w:tabs>
          <w:tab w:val="left" w:pos="42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участников;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0"/>
          <w:numId w:val="62"/>
        </w:numPr>
        <w:ind w:left="0" w:firstLine="709"/>
        <w:jc w:val="both"/>
        <w:spacing w:after="0"/>
        <w:tabs>
          <w:tab w:val="left" w:pos="42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возможных нештатных ситуаций, рассмотренных в рамках мероприятия;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0"/>
          <w:numId w:val="62"/>
        </w:numPr>
        <w:ind w:left="0" w:firstLine="709"/>
        <w:jc w:val="both"/>
        <w:spacing w:after="0"/>
        <w:tabs>
          <w:tab w:val="left" w:pos="42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действий, предложенных для реагирования на рассматриваемую ситуацию;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0"/>
          <w:numId w:val="62"/>
        </w:numPr>
        <w:ind w:left="0" w:firstLine="709"/>
        <w:jc w:val="both"/>
        <w:spacing w:after="0"/>
        <w:tabs>
          <w:tab w:val="left" w:pos="42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предложенных решений по реагированию.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2"/>
          <w:numId w:val="9"/>
        </w:numPr>
        <w:ind w:left="0" w:firstLine="709"/>
        <w:jc w:val="both"/>
        <w:spacing w:after="0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Скан-копия акта (отчета) по проведенным мероприятиям направляется в отдел информационной безопасности.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ind w:left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ind w:left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ind w:left="709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ind w:left="708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600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0"/>
        <w:numPr>
          <w:ilvl w:val="0"/>
          <w:numId w:val="26"/>
        </w:numPr>
        <w:ind w:left="1418" w:hanging="709"/>
        <w:jc w:val="center"/>
        <w:pageBreakBefore/>
        <w:spacing w:after="120"/>
        <w:tabs>
          <w:tab w:val="left" w:pos="357" w:leader="none"/>
          <w:tab w:val="left" w:pos="1418" w:leader="none"/>
        </w:tabs>
        <w:rPr>
          <w:rFonts w:ascii="Times New Roman" w:hAnsi="Times New Roman" w:cs="Times New Roman"/>
          <w:b/>
          <w:sz w:val="28"/>
          <w:szCs w:val="28"/>
        </w:rPr>
        <w:outlineLvl w:val="0"/>
      </w:pPr>
      <w:r/>
      <w:bookmarkStart w:id="5" w:name="_Toc191254333"/>
      <w:r>
        <w:rPr>
          <w:rFonts w:ascii="Times New Roman" w:hAnsi="Times New Roman" w:cs="Times New Roman"/>
          <w:b/>
          <w:sz w:val="28"/>
          <w:szCs w:val="28"/>
        </w:rPr>
        <w:t xml:space="preserve">ОТВЕТСТВЕННОСТЬ</w:t>
      </w:r>
      <w:bookmarkEnd w:id="5"/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86"/>
        <w:numPr>
          <w:ilvl w:val="1"/>
          <w:numId w:val="26"/>
        </w:numPr>
        <w:ind w:left="0" w:firstLine="709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Работники Общества, задействованные в организации и реализации процессов обеспечения доступности, несут персональную ответственность за ненадлежащее исполнение или неисполнение положений настоящего Регламента.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numPr>
          <w:ilvl w:val="1"/>
          <w:numId w:val="26"/>
        </w:numPr>
        <w:ind w:left="0" w:firstLine="709"/>
        <w:jc w:val="both"/>
        <w:spacing w:after="0"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Сотрудники Сервисной организации несут ответственность за ненадлежащее исполнение или неисполнение положений настоящего Регламента в соответствии с законодательством Российской Федерации и договором на оказание комплексных ИТ-услуг.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6"/>
        <w:ind w:left="954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b/>
          <w:bCs/>
          <w:sz w:val="28"/>
          <w:szCs w:val="28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851" w:bottom="1134" w:left="1418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line="65" w:lineRule="atLeast"/>
        <w:rPr>
          <w:rFonts w:ascii="Times New Roman" w:hAnsi="Times New Roman" w:cs="Times New Roman"/>
          <w:b/>
          <w:bCs/>
          <w:sz w:val="28"/>
          <w:szCs w:val="28"/>
        </w:rPr>
      </w:pPr>
      <w:r/>
      <w:bookmarkStart w:id="6" w:name="_Hlk192823244"/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ЛИСТ РЕГИСТРАЦИИ ИЗМЕНЕНИЙ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tbl>
      <w:tblPr>
        <w:tblStyle w:val="987"/>
        <w:tblW w:w="962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664"/>
        <w:gridCol w:w="1739"/>
        <w:gridCol w:w="1873"/>
        <w:gridCol w:w="3206"/>
        <w:gridCol w:w="2147"/>
      </w:tblGrid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664" w:type="dxa"/>
            <w:textDirection w:val="lrTb"/>
            <w:noWrap w:val="false"/>
          </w:tcPr>
          <w:p>
            <w:pPr>
              <w:jc w:val="center"/>
              <w:spacing w:after="0" w:line="6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739" w:type="dxa"/>
            <w:vAlign w:val="center"/>
            <w:textDirection w:val="lrTb"/>
            <w:noWrap w:val="false"/>
          </w:tcPr>
          <w:p>
            <w:pPr>
              <w:jc w:val="center"/>
              <w:spacing w:after="0" w:line="6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Дата внесения изменений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73" w:type="dxa"/>
            <w:vAlign w:val="center"/>
            <w:textDirection w:val="lrTb"/>
            <w:noWrap w:val="false"/>
          </w:tcPr>
          <w:p>
            <w:pPr>
              <w:jc w:val="center"/>
              <w:spacing w:after="0" w:line="6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Автор изменений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206" w:type="dxa"/>
            <w:vAlign w:val="center"/>
            <w:textDirection w:val="lrTb"/>
            <w:noWrap w:val="false"/>
          </w:tcPr>
          <w:p>
            <w:pPr>
              <w:jc w:val="center"/>
              <w:spacing w:after="0" w:line="6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Описание изменения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147" w:type="dxa"/>
            <w:vAlign w:val="center"/>
            <w:textDirection w:val="lrTb"/>
            <w:noWrap w:val="false"/>
          </w:tcPr>
          <w:p>
            <w:pPr>
              <w:jc w:val="center"/>
              <w:spacing w:after="0" w:line="6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Отметка о согласовании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6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664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739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73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206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147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6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664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739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73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206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147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6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664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739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73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206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147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6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664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739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73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206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147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6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664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739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73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206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147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6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664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739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73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206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147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6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664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739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73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206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147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6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664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739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73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206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147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6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664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739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73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206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147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6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664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739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73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206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147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6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664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739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73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206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147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6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664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739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73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206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147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6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664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739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73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206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147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6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664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739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73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206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147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6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664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739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73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206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147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6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664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739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73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206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147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6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664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739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73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206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147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6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664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739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73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206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147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6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664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739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73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206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147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6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664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739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73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206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147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6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664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739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73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206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147" w:type="dxa"/>
            <w:textDirection w:val="lrTb"/>
            <w:noWrap w:val="false"/>
          </w:tcPr>
          <w:p>
            <w:pPr>
              <w:jc w:val="both"/>
              <w:spacing w:after="0" w:line="6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  <w:t xml:space="preserve"> </w:t>
            </w:r>
            <w:bookmarkEnd w:id="6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986"/>
        <w:ind w:left="954"/>
        <w:jc w:val="both"/>
        <w:spacing w:line="240" w:lineRule="auto"/>
        <w:tabs>
          <w:tab w:val="left" w:pos="426" w:leader="none"/>
          <w:tab w:val="left" w:pos="1418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sectPr>
      <w:headerReference w:type="first" r:id="rId10"/>
      <w:footnotePr/>
      <w:endnotePr/>
      <w:type w:val="nextPage"/>
      <w:pgSz w:w="11906" w:h="16838" w:orient="portrait"/>
      <w:pgMar w:top="1134" w:right="851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MS Mincho">
    <w:panose1 w:val="02020603050405090304"/>
  </w:font>
  <w:font w:name="Calibri Light">
    <w:panose1 w:val="020F0502020204030204"/>
  </w:font>
  <w:font w:name="Courier New">
    <w:panose1 w:val="02070309020205020404"/>
  </w:font>
  <w:font w:name="Segoe UI">
    <w:panose1 w:val="020B05030202040202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9"/>
      <w:jc w:val="center"/>
    </w:pPr>
    <w:fldSimple w:instr="PAGE \* MERGEFORMAT">
      <w:r>
        <w:t xml:space="preserve">1</w:t>
      </w:r>
    </w:fldSimple>
    <w:r/>
    <w:r/>
  </w:p>
  <w:p>
    <w:pPr>
      <w:pStyle w:val="98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 w:ascii="Times New Roman" w:hAnsi="Times New Roman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4832" w:hanging="720"/>
      </w:pPr>
      <w:rPr>
        <w:rFonts w:hint="default" w:ascii="Times New Roman" w:hAnsi="Times New Roman" w:eastAsia="Times New Roman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2"/>
      <w:numFmt w:val="decimal"/>
      <w:pStyle w:val="1028"/>
      <w:isLgl w:val="false"/>
      <w:suff w:val="tab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 w:ascii="Times New Roman" w:hAnsi="Times New Roman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4832" w:hanging="720"/>
      </w:pPr>
      <w:rPr>
        <w:rFonts w:hint="default" w:ascii="Times New Roman" w:hAnsi="Times New Roman" w:eastAsia="Times New Roman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 w:ascii="Times New Roman" w:hAnsi="Times New Roman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483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 w:ascii="Times New Roman" w:hAnsi="Times New Roman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4832" w:hanging="720"/>
      </w:pPr>
      <w:rPr>
        <w:rFonts w:hint="default" w:ascii="Times New Roman" w:hAnsi="Times New Roman" w:eastAsia="Times New Roman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 w:eastAsia="Times New Roman"/>
        <w:color w:val="1f191a"/>
      </w:rPr>
    </w:lvl>
    <w:lvl w:ilvl="1">
      <w:start w:val="1"/>
      <w:numFmt w:val="decimal"/>
      <w:isLgl w:val="false"/>
      <w:suff w:val="tab"/>
      <w:lvlText w:val="%1.%2."/>
      <w:lvlJc w:val="left"/>
      <w:pPr>
        <w:ind w:left="2869" w:hanging="720"/>
      </w:pPr>
      <w:rPr>
        <w:rFonts w:hint="default" w:ascii="Times New Roman" w:hAnsi="Times New Roman" w:eastAsia="Times New Roman" w:cs="Times New Roman"/>
        <w:color w:val="1f191a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18" w:hanging="720"/>
      </w:pPr>
      <w:rPr>
        <w:rFonts w:hint="default" w:eastAsia="Times New Roman"/>
        <w:color w:val="1f191a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527" w:hanging="1080"/>
      </w:pPr>
      <w:rPr>
        <w:rFonts w:hint="default" w:eastAsia="Times New Roman"/>
        <w:color w:val="1f191a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9676" w:hanging="1080"/>
      </w:pPr>
      <w:rPr>
        <w:rFonts w:hint="default" w:eastAsia="Times New Roman"/>
        <w:color w:val="1f191a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2185" w:hanging="1440"/>
      </w:pPr>
      <w:rPr>
        <w:rFonts w:hint="default" w:eastAsia="Times New Roman"/>
        <w:color w:val="1f191a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694" w:hanging="1800"/>
      </w:pPr>
      <w:rPr>
        <w:rFonts w:hint="default" w:eastAsia="Times New Roman"/>
        <w:color w:val="1f191a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6843" w:hanging="1800"/>
      </w:pPr>
      <w:rPr>
        <w:rFonts w:hint="default" w:eastAsia="Times New Roman"/>
        <w:color w:val="1f191a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9352" w:hanging="2160"/>
      </w:pPr>
      <w:rPr>
        <w:rFonts w:hint="default" w:eastAsia="Times New Roman"/>
        <w:color w:val="1f191a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 w:ascii="Times New Roman" w:hAnsi="Times New Roman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4832" w:hanging="720"/>
      </w:pPr>
      <w:rPr>
        <w:rFonts w:hint="default"/>
        <w:sz w:val="28"/>
      </w:rPr>
    </w:lvl>
    <w:lvl w:ilvl="3">
      <w:start w:val="1"/>
      <w:numFmt w:val="decimal"/>
      <w:isLgl/>
      <w:suff w:val="tab"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 w:ascii="Times New Roman" w:hAnsi="Times New Roman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4832" w:hanging="720"/>
      </w:pPr>
      <w:rPr>
        <w:rFonts w:hint="default" w:ascii="Times New Roman" w:hAnsi="Times New Roman" w:eastAsia="Times New Roman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 w:ascii="Times New Roman" w:hAnsi="Times New Roman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4832" w:hanging="720"/>
      </w:pPr>
      <w:rPr>
        <w:rFonts w:hint="default"/>
        <w:sz w:val="28"/>
      </w:rPr>
    </w:lvl>
    <w:lvl w:ilvl="3">
      <w:start w:val="1"/>
      <w:numFmt w:val="decimal"/>
      <w:isLgl/>
      <w:suff w:val="tab"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righ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righ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 w:ascii="Times New Roman" w:hAnsi="Times New Roman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483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568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0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 w:ascii="Times New Roman" w:hAnsi="Times New Roman" w:eastAsia="Times New Roman" w:cs="Times New Roman"/>
        <w:sz w:val="28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1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 w:ascii="Times New Roman" w:hAnsi="Times New Roman" w:eastAsia="Times New Roman" w:cs="Times New Roman"/>
        <w:sz w:val="28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 w:ascii="Times New Roman" w:hAnsi="Times New Roman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4832" w:hanging="720"/>
      </w:pPr>
      <w:rPr>
        <w:rFonts w:hint="default" w:ascii="Times New Roman" w:hAnsi="Times New Roman" w:eastAsia="Times New Roman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 w:ascii="Times New Roman" w:hAnsi="Times New Roman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4832" w:hanging="720"/>
      </w:pPr>
      <w:rPr>
        <w:rFonts w:hint="default"/>
        <w:sz w:val="28"/>
      </w:rPr>
    </w:lvl>
    <w:lvl w:ilvl="3">
      <w:start w:val="1"/>
      <w:numFmt w:val="decimal"/>
      <w:isLgl/>
      <w:suff w:val="tab"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4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 w:eastAsia="Times New Roman"/>
        <w:color w:val="1f191a"/>
      </w:rPr>
    </w:lvl>
    <w:lvl w:ilvl="1">
      <w:start w:val="1"/>
      <w:numFmt w:val="bullet"/>
      <w:isLgl w:val="false"/>
      <w:suff w:val="tab"/>
      <w:lvlText w:val=""/>
      <w:lvlJc w:val="left"/>
      <w:pPr>
        <w:ind w:left="2869" w:hanging="720"/>
      </w:pPr>
      <w:rPr>
        <w:rFonts w:hint="default" w:ascii="Symbol" w:hAnsi="Symbol"/>
        <w:color w:val="1f191a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18" w:hanging="720"/>
      </w:pPr>
      <w:rPr>
        <w:rFonts w:hint="default" w:eastAsia="Times New Roman"/>
        <w:color w:val="1f191a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527" w:hanging="1080"/>
      </w:pPr>
      <w:rPr>
        <w:rFonts w:hint="default" w:eastAsia="Times New Roman"/>
        <w:color w:val="1f191a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9676" w:hanging="1080"/>
      </w:pPr>
      <w:rPr>
        <w:rFonts w:hint="default" w:eastAsia="Times New Roman"/>
        <w:color w:val="1f191a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2185" w:hanging="1440"/>
      </w:pPr>
      <w:rPr>
        <w:rFonts w:hint="default" w:eastAsia="Times New Roman"/>
        <w:color w:val="1f191a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694" w:hanging="1800"/>
      </w:pPr>
      <w:rPr>
        <w:rFonts w:hint="default" w:eastAsia="Times New Roman"/>
        <w:color w:val="1f191a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6843" w:hanging="1800"/>
      </w:pPr>
      <w:rPr>
        <w:rFonts w:hint="default" w:eastAsia="Times New Roman"/>
        <w:color w:val="1f191a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9352" w:hanging="2160"/>
      </w:pPr>
      <w:rPr>
        <w:rFonts w:hint="default" w:eastAsia="Times New Roman"/>
        <w:color w:val="1f191a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568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 w:ascii="Times New Roman" w:hAnsi="Times New Roman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4832" w:hanging="720"/>
      </w:pPr>
      <w:rPr>
        <w:rFonts w:hint="default" w:ascii="Times New Roman" w:hAnsi="Times New Roman" w:eastAsia="Times New Roman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 w:ascii="Times New Roman" w:hAnsi="Times New Roman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4832" w:hanging="720"/>
      </w:pPr>
      <w:rPr>
        <w:rFonts w:hint="default" w:ascii="Times New Roman" w:hAnsi="Times New Roman" w:eastAsia="Times New Roman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 w:eastAsia="Times New Roman"/>
        <w:color w:val="1f191a"/>
      </w:rPr>
    </w:lvl>
    <w:lvl w:ilvl="1">
      <w:start w:val="1"/>
      <w:numFmt w:val="bullet"/>
      <w:isLgl w:val="false"/>
      <w:suff w:val="tab"/>
      <w:lvlText w:val=""/>
      <w:lvlJc w:val="left"/>
      <w:pPr>
        <w:ind w:left="2869" w:hanging="720"/>
      </w:pPr>
      <w:rPr>
        <w:rFonts w:hint="default" w:ascii="Symbol" w:hAnsi="Symbol"/>
        <w:color w:val="1f191a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18" w:hanging="720"/>
      </w:pPr>
      <w:rPr>
        <w:rFonts w:hint="default" w:eastAsia="Times New Roman"/>
        <w:color w:val="1f191a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527" w:hanging="1080"/>
      </w:pPr>
      <w:rPr>
        <w:rFonts w:hint="default" w:eastAsia="Times New Roman"/>
        <w:color w:val="1f191a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9676" w:hanging="1080"/>
      </w:pPr>
      <w:rPr>
        <w:rFonts w:hint="default" w:eastAsia="Times New Roman"/>
        <w:color w:val="1f191a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2185" w:hanging="1440"/>
      </w:pPr>
      <w:rPr>
        <w:rFonts w:hint="default" w:eastAsia="Times New Roman"/>
        <w:color w:val="1f191a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694" w:hanging="1800"/>
      </w:pPr>
      <w:rPr>
        <w:rFonts w:hint="default" w:eastAsia="Times New Roman"/>
        <w:color w:val="1f191a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6843" w:hanging="1800"/>
      </w:pPr>
      <w:rPr>
        <w:rFonts w:hint="default" w:eastAsia="Times New Roman"/>
        <w:color w:val="1f191a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9352" w:hanging="2160"/>
      </w:pPr>
      <w:rPr>
        <w:rFonts w:hint="default" w:eastAsia="Times New Roman"/>
        <w:color w:val="1f191a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 w:ascii="Times New Roman" w:hAnsi="Times New Roman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4832" w:hanging="720"/>
      </w:pPr>
      <w:rPr>
        <w:rFonts w:hint="default" w:ascii="Times New Roman" w:hAnsi="Times New Roman" w:eastAsia="Times New Roman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bullet"/>
      <w:pStyle w:val="1026"/>
      <w:isLgl w:val="false"/>
      <w:suff w:val="tab"/>
      <w:lvlText w:val=""/>
      <w:lvlJc w:val="left"/>
      <w:pPr>
        <w:ind w:left="1069" w:hanging="360"/>
        <w:tabs>
          <w:tab w:val="num" w:pos="0" w:leader="none"/>
        </w:tabs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  <w:sz w:val="28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 w:ascii="Times New Roman" w:hAnsi="Times New Roman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4832" w:hanging="720"/>
      </w:pPr>
      <w:rPr>
        <w:rFonts w:hint="default" w:ascii="Times New Roman" w:hAnsi="Times New Roman" w:eastAsia="Times New Roman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 w:ascii="Times New Roman" w:hAnsi="Times New Roman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4832" w:hanging="720"/>
      </w:pPr>
      <w:rPr>
        <w:rFonts w:hint="default" w:ascii="Times New Roman" w:hAnsi="Times New Roman" w:eastAsia="Times New Roman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 w:ascii="Times New Roman" w:hAnsi="Times New Roman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4832" w:hanging="720"/>
      </w:pPr>
      <w:rPr>
        <w:rFonts w:hint="default" w:ascii="Times New Roman" w:hAnsi="Times New Roman" w:eastAsia="Times New Roman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pStyle w:val="1027"/>
      <w:isLgl w:val="false"/>
      <w:suff w:val="space"/>
      <w:lvlText w:val="%1."/>
      <w:lvlJc w:val="left"/>
      <w:pPr>
        <w:ind w:left="36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2">
      <w:start w:val="1"/>
      <w:numFmt w:val="decimal"/>
      <w:isLgl w:val="false"/>
      <w:suff w:val="space"/>
      <w:lvlText w:val="%1.%2.%3."/>
      <w:lvlJc w:val="left"/>
      <w:pPr>
        <w:ind w:left="1224" w:hanging="504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880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60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32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68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400" w:leader="none"/>
        </w:tabs>
      </w:pPr>
      <w:rPr>
        <w:rFonts w:hint="default" w:cs="Times New Roman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 w:ascii="Times New Roman" w:hAnsi="Times New Roman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4832" w:hanging="720"/>
      </w:pPr>
      <w:rPr>
        <w:rFonts w:hint="default" w:ascii="Times New Roman" w:hAnsi="Times New Roman" w:eastAsia="Times New Roman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 w:ascii="Times New Roman" w:hAnsi="Times New Roman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483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bullet"/>
      <w:pStyle w:val="999"/>
      <w:isLgl w:val="false"/>
      <w:suff w:val="tab"/>
      <w:lvlText w:val=""/>
      <w:lvlJc w:val="left"/>
      <w:pPr>
        <w:ind w:left="284" w:hanging="284"/>
        <w:tabs>
          <w:tab w:val="num" w:pos="360" w:leader="none"/>
        </w:tabs>
      </w:pPr>
      <w:rPr>
        <w:rFonts w:hint="default" w:ascii="Symbol" w:hAnsi="Symbol"/>
        <w:b/>
        <w:strike w:val="0"/>
        <w:color w:val="auto"/>
        <w:u w:val="none"/>
      </w:rPr>
    </w:lvl>
    <w:lvl w:ilvl="1">
      <w:start w:val="1"/>
      <w:numFmt w:val="bullet"/>
      <w:isLgl w:val="false"/>
      <w:suff w:val="tab"/>
      <w:lvlText w:val=""/>
      <w:lvlJc w:val="left"/>
      <w:pPr>
        <w:ind w:left="567" w:hanging="283"/>
        <w:tabs>
          <w:tab w:val="num" w:pos="644" w:leader="none"/>
        </w:tabs>
      </w:pPr>
      <w:rPr>
        <w:rFonts w:hint="default" w:ascii="Symbol" w:hAnsi="Symbol"/>
        <w:color w:val="auto"/>
      </w:rPr>
    </w:lvl>
    <w:lvl w:ilvl="2">
      <w:start w:val="1"/>
      <w:numFmt w:val="bullet"/>
      <w:isLgl w:val="false"/>
      <w:suff w:val="tab"/>
      <w:lvlText w:val=""/>
      <w:lvlJc w:val="left"/>
      <w:pPr>
        <w:ind w:left="851" w:hanging="284"/>
        <w:tabs>
          <w:tab w:val="num" w:pos="927" w:leader="none"/>
        </w:tabs>
      </w:pPr>
      <w:rPr>
        <w:rFonts w:hint="default" w:ascii="Symbol" w:hAnsi="Symbol"/>
      </w:rPr>
    </w:lvl>
    <w:lvl w:ilvl="3">
      <w:start w:val="1"/>
      <w:numFmt w:val="bullet"/>
      <w:isLgl w:val="false"/>
      <w:suff w:val="tab"/>
      <w:lvlText w:val=""/>
      <w:lvlJc w:val="left"/>
      <w:pPr>
        <w:ind w:left="1134" w:hanging="283"/>
        <w:tabs>
          <w:tab w:val="num" w:pos="1211" w:leader="none"/>
        </w:tabs>
      </w:pPr>
      <w:rPr>
        <w:rFonts w:hint="default" w:ascii="Symbol" w:hAnsi="Symbol"/>
        <w:color w:val="auto"/>
      </w:rPr>
    </w:lvl>
    <w:lvl w:ilvl="4">
      <w:start w:val="1"/>
      <w:numFmt w:val="bullet"/>
      <w:isLgl w:val="false"/>
      <w:suff w:val="tab"/>
      <w:lvlText w:val=""/>
      <w:lvlJc w:val="left"/>
      <w:pPr>
        <w:ind w:left="1800" w:hanging="360"/>
        <w:tabs>
          <w:tab w:val="num" w:pos="1800" w:leader="none"/>
        </w:tabs>
      </w:pPr>
      <w:rPr>
        <w:rFonts w:hint="default" w:ascii="Symbol" w:hAnsi="Symbol"/>
      </w:rPr>
    </w:lvl>
    <w:lvl w:ilvl="5">
      <w:start w:val="1"/>
      <w:numFmt w:val="bullet"/>
      <w:isLgl w:val="false"/>
      <w:suff w:val="tab"/>
      <w:lvlText w:val="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7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8">
      <w:start w:val="1"/>
      <w:numFmt w:val="bullet"/>
      <w:isLgl w:val="false"/>
      <w:suff w:val="tab"/>
      <w:lvlText w:val="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</w:abstractNum>
  <w:abstractNum w:abstractNumId="45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 w:ascii="Times New Roman" w:hAnsi="Times New Roman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4832" w:hanging="720"/>
      </w:pPr>
      <w:rPr>
        <w:rFonts w:hint="default" w:ascii="Times New Roman" w:hAnsi="Times New Roman" w:eastAsia="Times New Roman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48">
    <w:multiLevelType w:val="hybridMultilevel"/>
    <w:styleLink w:val="1016"/>
    <w:lvl w:ilvl="0">
      <w:start w:val="1"/>
      <w:numFmt w:val="decimal"/>
      <w:pStyle w:val="1017"/>
      <w:isLgl w:val="false"/>
      <w:suff w:val="space"/>
      <w:lvlText w:val="%1."/>
      <w:lvlJc w:val="left"/>
      <w:pPr>
        <w:ind w:left="589" w:firstLine="709"/>
      </w:pPr>
      <w:rPr>
        <w:rFonts w:hint="default"/>
      </w:rPr>
    </w:lvl>
    <w:lvl w:ilvl="1">
      <w:start w:val="1"/>
      <w:numFmt w:val="decimal"/>
      <w:pStyle w:val="1018"/>
      <w:isLgl/>
      <w:suff w:val="tab"/>
      <w:lvlText w:val="%1.%2."/>
      <w:lvlJc w:val="left"/>
      <w:pPr>
        <w:ind w:left="589" w:firstLine="709"/>
        <w:tabs>
          <w:tab w:val="num" w:pos="1865" w:leader="none"/>
        </w:tabs>
      </w:pPr>
      <w:rPr>
        <w:rFonts w:hint="default"/>
        <w:u w:val="none"/>
      </w:rPr>
    </w:lvl>
    <w:lvl w:ilvl="2">
      <w:start w:val="1"/>
      <w:numFmt w:val="decimal"/>
      <w:pStyle w:val="1019"/>
      <w:isLgl/>
      <w:suff w:val="tab"/>
      <w:lvlText w:val="%1.%2.%3."/>
      <w:lvlJc w:val="left"/>
      <w:pPr>
        <w:ind w:left="589" w:firstLine="709"/>
        <w:tabs>
          <w:tab w:val="num" w:pos="1865" w:leader="none"/>
        </w:tabs>
      </w:pPr>
      <w:rPr>
        <w:rFonts w:hint="default"/>
      </w:rPr>
    </w:lvl>
    <w:lvl w:ilvl="3">
      <w:start w:val="1"/>
      <w:numFmt w:val="decimal"/>
      <w:pStyle w:val="1020"/>
      <w:isLgl/>
      <w:suff w:val="space"/>
      <w:lvlText w:val="%1.%2.%3.%4."/>
      <w:lvlJc w:val="left"/>
      <w:pPr>
        <w:ind w:left="589" w:firstLine="709"/>
      </w:pPr>
      <w:rPr>
        <w:rFonts w:hint="default"/>
      </w:rPr>
    </w:lvl>
    <w:lvl w:ilvl="4">
      <w:start w:val="1"/>
      <w:numFmt w:val="decimal"/>
      <w:pStyle w:val="1021"/>
      <w:isLgl/>
      <w:suff w:val="space"/>
      <w:lvlText w:val="%1.%2.%3.%4.%5."/>
      <w:lvlJc w:val="left"/>
      <w:pPr>
        <w:ind w:left="590" w:firstLine="708"/>
      </w:pPr>
      <w:rPr>
        <w:rFonts w:hint="default"/>
      </w:rPr>
    </w:lvl>
    <w:lvl w:ilvl="5">
      <w:start w:val="1"/>
      <w:numFmt w:val="decimal"/>
      <w:isLgl w:val="false"/>
      <w:suff w:val="space"/>
      <w:lvlText w:val="%1.%2.%3.%4.%5.%6."/>
      <w:lvlJc w:val="left"/>
      <w:pPr>
        <w:ind w:left="590" w:firstLine="708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967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327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687" w:hanging="360"/>
      </w:pPr>
      <w:rPr>
        <w:rFonts w:hint="default"/>
      </w:rPr>
    </w:lvl>
  </w:abstractNum>
  <w:abstractNum w:abstractNumId="49">
    <w:multiLevelType w:val="hybridMultilevel"/>
    <w:lvl w:ilvl="0">
      <w:start w:val="2"/>
      <w:numFmt w:val="decimal"/>
      <w:pStyle w:val="1029"/>
      <w:isLgl w:val="false"/>
      <w:suff w:val="tab"/>
      <w:lvlText w:val="%1."/>
      <w:lvlJc w:val="left"/>
      <w:pPr>
        <w:ind w:left="674" w:hanging="39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 w:ascii="Times New Roman" w:hAnsi="Times New Roman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4832" w:hanging="720"/>
      </w:pPr>
      <w:rPr>
        <w:rFonts w:hint="default" w:ascii="Times New Roman" w:hAnsi="Times New Roman" w:eastAsia="Times New Roman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)"/>
      <w:lvlJc w:val="righ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 w:ascii="Times New Roman" w:hAnsi="Times New Roman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4832" w:hanging="720"/>
      </w:pPr>
      <w:rPr>
        <w:rFonts w:hint="default" w:ascii="Times New Roman" w:hAnsi="Times New Roman" w:eastAsia="Times New Roman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 w:ascii="Times New Roman" w:hAnsi="Times New Roman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483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7">
    <w:multiLevelType w:val="hybridMultilevel"/>
    <w:lvl w:ilvl="0">
      <w:start w:val="1"/>
      <w:numFmt w:val="decimal"/>
      <w:pStyle w:val="1024"/>
      <w:isLgl w:val="false"/>
      <w:suff w:val="tab"/>
      <w:lvlText w:val="%1."/>
      <w:lvlJc w:val="left"/>
      <w:pPr>
        <w:ind w:left="1070" w:hanging="360"/>
        <w:tabs>
          <w:tab w:val="num" w:pos="285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556" w:hanging="420"/>
        <w:tabs>
          <w:tab w:val="num" w:pos="285" w:leader="none"/>
        </w:tabs>
      </w:pPr>
      <w:rPr>
        <w:rFonts w:hint="default" w:ascii="Times New Roman" w:hAnsi="Times New Roman" w:cs="Times New Roman"/>
        <w:b w:val="0"/>
        <w:i w:val="0"/>
        <w:strike w:val="0"/>
      </w:rPr>
    </w:lvl>
    <w:lvl w:ilvl="2">
      <w:start w:val="1"/>
      <w:numFmt w:val="decimal"/>
      <w:isLgl w:val="false"/>
      <w:suff w:val="tab"/>
      <w:lvlText w:val="11.2.%3."/>
      <w:lvlJc w:val="left"/>
      <w:pPr>
        <w:ind w:left="1354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14" w:hanging="720"/>
        <w:tabs>
          <w:tab w:val="num" w:pos="285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074" w:hanging="1080"/>
        <w:tabs>
          <w:tab w:val="num" w:pos="285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074" w:hanging="1080"/>
        <w:tabs>
          <w:tab w:val="num" w:pos="2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434" w:hanging="1440"/>
        <w:tabs>
          <w:tab w:val="num" w:pos="285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434" w:hanging="1440"/>
        <w:tabs>
          <w:tab w:val="num" w:pos="285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794" w:hanging="1800"/>
        <w:tabs>
          <w:tab w:val="num" w:pos="285" w:leader="none"/>
        </w:tabs>
      </w:p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9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60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  <w:sz w:val="28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6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)"/>
      <w:lvlJc w:val="righ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41"/>
  </w:num>
  <w:num w:numId="2">
    <w:abstractNumId w:val="44"/>
  </w:num>
  <w:num w:numId="3">
    <w:abstractNumId w:val="49"/>
  </w:num>
  <w:num w:numId="4">
    <w:abstractNumId w:val="48"/>
  </w:num>
  <w:num w:numId="5">
    <w:abstractNumId w:val="2"/>
  </w:num>
  <w:num w:numId="6">
    <w:abstractNumId w:val="57"/>
  </w:num>
  <w:num w:numId="7">
    <w:abstractNumId w:val="34"/>
  </w:num>
  <w:num w:numId="8">
    <w:abstractNumId w:val="9"/>
  </w:num>
  <w:num w:numId="9">
    <w:abstractNumId w:val="47"/>
  </w:num>
  <w:num w:numId="10">
    <w:abstractNumId w:val="25"/>
  </w:num>
  <w:num w:numId="11">
    <w:abstractNumId w:val="63"/>
  </w:num>
  <w:num w:numId="12">
    <w:abstractNumId w:val="1"/>
  </w:num>
  <w:num w:numId="13">
    <w:abstractNumId w:val="27"/>
  </w:num>
  <w:num w:numId="14">
    <w:abstractNumId w:val="26"/>
  </w:num>
  <w:num w:numId="15">
    <w:abstractNumId w:val="18"/>
  </w:num>
  <w:num w:numId="16">
    <w:abstractNumId w:val="36"/>
  </w:num>
  <w:num w:numId="17">
    <w:abstractNumId w:val="56"/>
  </w:num>
  <w:num w:numId="18">
    <w:abstractNumId w:val="16"/>
  </w:num>
  <w:num w:numId="19">
    <w:abstractNumId w:val="21"/>
  </w:num>
  <w:num w:numId="20">
    <w:abstractNumId w:val="46"/>
  </w:num>
  <w:num w:numId="21">
    <w:abstractNumId w:val="24"/>
  </w:num>
  <w:num w:numId="22">
    <w:abstractNumId w:val="43"/>
  </w:num>
  <w:num w:numId="23">
    <w:abstractNumId w:val="58"/>
  </w:num>
  <w:num w:numId="24">
    <w:abstractNumId w:val="8"/>
  </w:num>
  <w:num w:numId="25">
    <w:abstractNumId w:val="45"/>
  </w:num>
  <w:num w:numId="26">
    <w:abstractNumId w:val="19"/>
  </w:num>
  <w:num w:numId="27">
    <w:abstractNumId w:val="3"/>
  </w:num>
  <w:num w:numId="28">
    <w:abstractNumId w:val="55"/>
  </w:num>
  <w:num w:numId="29">
    <w:abstractNumId w:val="29"/>
  </w:num>
  <w:num w:numId="30">
    <w:abstractNumId w:val="32"/>
  </w:num>
  <w:num w:numId="31">
    <w:abstractNumId w:val="38"/>
  </w:num>
  <w:num w:numId="32">
    <w:abstractNumId w:val="60"/>
  </w:num>
  <w:num w:numId="33">
    <w:abstractNumId w:val="17"/>
  </w:num>
  <w:num w:numId="34">
    <w:abstractNumId w:val="5"/>
  </w:num>
  <w:num w:numId="35">
    <w:abstractNumId w:val="50"/>
  </w:num>
  <w:num w:numId="36">
    <w:abstractNumId w:val="59"/>
  </w:num>
  <w:num w:numId="37">
    <w:abstractNumId w:val="4"/>
  </w:num>
  <w:num w:numId="38">
    <w:abstractNumId w:val="52"/>
  </w:num>
  <w:num w:numId="39">
    <w:abstractNumId w:val="35"/>
  </w:num>
  <w:num w:numId="40">
    <w:abstractNumId w:val="23"/>
  </w:num>
  <w:num w:numId="41">
    <w:abstractNumId w:val="10"/>
  </w:num>
  <w:num w:numId="42">
    <w:abstractNumId w:val="40"/>
  </w:num>
  <w:num w:numId="43">
    <w:abstractNumId w:val="12"/>
  </w:num>
  <w:num w:numId="44">
    <w:abstractNumId w:val="42"/>
  </w:num>
  <w:num w:numId="45">
    <w:abstractNumId w:val="20"/>
  </w:num>
  <w:num w:numId="46">
    <w:abstractNumId w:val="28"/>
  </w:num>
  <w:num w:numId="47">
    <w:abstractNumId w:val="6"/>
  </w:num>
  <w:num w:numId="48">
    <w:abstractNumId w:val="61"/>
  </w:num>
  <w:num w:numId="49">
    <w:abstractNumId w:val="33"/>
  </w:num>
  <w:num w:numId="50">
    <w:abstractNumId w:val="22"/>
  </w:num>
  <w:num w:numId="51">
    <w:abstractNumId w:val="54"/>
  </w:num>
  <w:num w:numId="52">
    <w:abstractNumId w:val="0"/>
  </w:num>
  <w:num w:numId="53">
    <w:abstractNumId w:val="14"/>
  </w:num>
  <w:num w:numId="54">
    <w:abstractNumId w:val="53"/>
  </w:num>
  <w:num w:numId="55">
    <w:abstractNumId w:val="62"/>
  </w:num>
  <w:num w:numId="56">
    <w:abstractNumId w:val="15"/>
  </w:num>
  <w:num w:numId="57">
    <w:abstractNumId w:val="37"/>
  </w:num>
  <w:num w:numId="58">
    <w:abstractNumId w:val="7"/>
  </w:num>
  <w:num w:numId="59">
    <w:abstractNumId w:val="11"/>
  </w:num>
  <w:num w:numId="60">
    <w:abstractNumId w:val="31"/>
  </w:num>
  <w:num w:numId="61">
    <w:abstractNumId w:val="39"/>
  </w:num>
  <w:num w:numId="62">
    <w:abstractNumId w:val="51"/>
  </w:num>
  <w:num w:numId="63">
    <w:abstractNumId w:val="30"/>
  </w:num>
  <w:num w:numId="64">
    <w:abstractNumId w:val="13"/>
  </w:num>
  <w:num w:numId="65">
    <w:abstractNumId w:val="6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08" w:default="1">
    <w:name w:val="Normal"/>
    <w:qFormat/>
    <w:pPr>
      <w:spacing w:after="200" w:line="276" w:lineRule="auto"/>
    </w:pPr>
  </w:style>
  <w:style w:type="paragraph" w:styleId="809">
    <w:name w:val="Heading 1"/>
    <w:basedOn w:val="808"/>
    <w:next w:val="808"/>
    <w:link w:val="1003"/>
    <w:uiPriority w:val="9"/>
    <w:qFormat/>
    <w:pPr>
      <w:keepLines/>
      <w:keepNext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810">
    <w:name w:val="Heading 2"/>
    <w:next w:val="808"/>
    <w:link w:val="993"/>
    <w:uiPriority w:val="9"/>
    <w:unhideWhenUsed/>
    <w:qFormat/>
    <w:pPr>
      <w:ind w:left="2646" w:right="389" w:hanging="10"/>
      <w:jc w:val="center"/>
      <w:keepLines/>
      <w:keepNext/>
      <w:spacing w:after="2" w:line="267" w:lineRule="auto"/>
      <w:outlineLvl w:val="1"/>
    </w:pPr>
    <w:rPr>
      <w:rFonts w:ascii="Times New Roman" w:hAnsi="Times New Roman" w:eastAsia="Times New Roman" w:cs="Times New Roman"/>
      <w:color w:val="000000"/>
      <w:sz w:val="30"/>
      <w:lang w:eastAsia="ru-RU"/>
    </w:rPr>
  </w:style>
  <w:style w:type="paragraph" w:styleId="811">
    <w:name w:val="Heading 3"/>
    <w:basedOn w:val="810"/>
    <w:next w:val="808"/>
    <w:link w:val="1041"/>
    <w:uiPriority w:val="9"/>
    <w:unhideWhenUsed/>
    <w:qFormat/>
    <w:pPr>
      <w:ind w:left="1922" w:right="0" w:hanging="504"/>
      <w:jc w:val="both"/>
      <w:spacing w:before="120" w:after="0" w:line="360" w:lineRule="auto"/>
      <w:tabs>
        <w:tab w:val="left" w:pos="1276" w:leader="none"/>
      </w:tabs>
      <w:outlineLvl w:val="2"/>
    </w:pPr>
    <w:rPr>
      <w:rFonts w:ascii="Arial" w:hAnsi="Arial" w:cs="Arial" w:eastAsiaTheme="majorEastAsia"/>
      <w:color w:val="262626" w:themeColor="text1" w:themeTint="D9"/>
      <w:sz w:val="24"/>
      <w:szCs w:val="24"/>
      <w:lang w:eastAsia="en-US"/>
    </w:rPr>
  </w:style>
  <w:style w:type="paragraph" w:styleId="812">
    <w:name w:val="Heading 4"/>
    <w:basedOn w:val="808"/>
    <w:next w:val="808"/>
    <w:link w:val="833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13">
    <w:name w:val="Heading 5"/>
    <w:basedOn w:val="808"/>
    <w:next w:val="808"/>
    <w:link w:val="1052"/>
    <w:uiPriority w:val="9"/>
    <w:semiHidden/>
    <w:unhideWhenUsed/>
    <w:qFormat/>
    <w:pPr>
      <w:keepLines/>
      <w:keepNext/>
      <w:spacing w:before="40" w:after="0"/>
      <w:outlineLvl w:val="4"/>
    </w:pPr>
    <w:rPr>
      <w:rFonts w:asciiTheme="majorHAnsi" w:hAnsiTheme="majorHAnsi" w:eastAsiaTheme="majorEastAsia" w:cstheme="majorBidi"/>
      <w:color w:val="2e74b5" w:themeColor="accent1" w:themeShade="BF"/>
    </w:rPr>
  </w:style>
  <w:style w:type="paragraph" w:styleId="814">
    <w:name w:val="Heading 6"/>
    <w:basedOn w:val="808"/>
    <w:next w:val="808"/>
    <w:link w:val="835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815">
    <w:name w:val="Heading 7"/>
    <w:basedOn w:val="808"/>
    <w:next w:val="808"/>
    <w:link w:val="836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816">
    <w:name w:val="Heading 8"/>
    <w:basedOn w:val="808"/>
    <w:next w:val="808"/>
    <w:link w:val="837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817">
    <w:name w:val="Heading 9"/>
    <w:basedOn w:val="808"/>
    <w:next w:val="808"/>
    <w:link w:val="838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18" w:default="1">
    <w:name w:val="Default Paragraph Font"/>
    <w:uiPriority w:val="1"/>
    <w:semiHidden/>
    <w:unhideWhenUsed/>
  </w:style>
  <w:style w:type="table" w:styleId="8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0" w:default="1">
    <w:name w:val="No List"/>
    <w:uiPriority w:val="99"/>
    <w:semiHidden/>
    <w:unhideWhenUsed/>
  </w:style>
  <w:style w:type="character" w:styleId="821" w:customStyle="1">
    <w:name w:val="Heading 4 Char"/>
    <w:basedOn w:val="818"/>
    <w:uiPriority w:val="9"/>
    <w:rPr>
      <w:rFonts w:ascii="Arial" w:hAnsi="Arial" w:eastAsia="Arial" w:cs="Arial"/>
      <w:b/>
      <w:bCs/>
      <w:sz w:val="26"/>
      <w:szCs w:val="26"/>
    </w:rPr>
  </w:style>
  <w:style w:type="character" w:styleId="822" w:customStyle="1">
    <w:name w:val="Heading 6 Char"/>
    <w:basedOn w:val="818"/>
    <w:uiPriority w:val="9"/>
    <w:rPr>
      <w:rFonts w:ascii="Arial" w:hAnsi="Arial" w:eastAsia="Arial" w:cs="Arial"/>
      <w:b/>
      <w:bCs/>
      <w:sz w:val="22"/>
      <w:szCs w:val="22"/>
    </w:rPr>
  </w:style>
  <w:style w:type="character" w:styleId="823" w:customStyle="1">
    <w:name w:val="Heading 7 Char"/>
    <w:basedOn w:val="81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4" w:customStyle="1">
    <w:name w:val="Heading 8 Char"/>
    <w:basedOn w:val="818"/>
    <w:uiPriority w:val="9"/>
    <w:rPr>
      <w:rFonts w:ascii="Arial" w:hAnsi="Arial" w:eastAsia="Arial" w:cs="Arial"/>
      <w:i/>
      <w:iCs/>
      <w:sz w:val="22"/>
      <w:szCs w:val="22"/>
    </w:rPr>
  </w:style>
  <w:style w:type="character" w:styleId="825" w:customStyle="1">
    <w:name w:val="Heading 9 Char"/>
    <w:basedOn w:val="818"/>
    <w:uiPriority w:val="9"/>
    <w:rPr>
      <w:rFonts w:ascii="Arial" w:hAnsi="Arial" w:eastAsia="Arial" w:cs="Arial"/>
      <w:i/>
      <w:iCs/>
      <w:sz w:val="21"/>
      <w:szCs w:val="21"/>
    </w:rPr>
  </w:style>
  <w:style w:type="character" w:styleId="826" w:customStyle="1">
    <w:name w:val="Subtitle Char"/>
    <w:basedOn w:val="818"/>
    <w:uiPriority w:val="11"/>
    <w:rPr>
      <w:sz w:val="24"/>
      <w:szCs w:val="24"/>
    </w:rPr>
  </w:style>
  <w:style w:type="character" w:styleId="827" w:customStyle="1">
    <w:name w:val="Quote Char"/>
    <w:uiPriority w:val="29"/>
    <w:rPr>
      <w:i/>
    </w:rPr>
  </w:style>
  <w:style w:type="character" w:styleId="828" w:customStyle="1">
    <w:name w:val="Intense Quote Char"/>
    <w:uiPriority w:val="30"/>
    <w:rPr>
      <w:i/>
    </w:rPr>
  </w:style>
  <w:style w:type="character" w:styleId="829" w:customStyle="1">
    <w:name w:val="Endnote Text Char"/>
    <w:uiPriority w:val="99"/>
    <w:rPr>
      <w:sz w:val="20"/>
    </w:rPr>
  </w:style>
  <w:style w:type="character" w:styleId="830" w:customStyle="1">
    <w:name w:val="Heading 1 Char"/>
    <w:basedOn w:val="818"/>
    <w:uiPriority w:val="9"/>
    <w:rPr>
      <w:rFonts w:ascii="Arial" w:hAnsi="Arial" w:eastAsia="Arial" w:cs="Arial"/>
      <w:sz w:val="40"/>
      <w:szCs w:val="40"/>
    </w:rPr>
  </w:style>
  <w:style w:type="character" w:styleId="831" w:customStyle="1">
    <w:name w:val="Heading 2 Char"/>
    <w:basedOn w:val="818"/>
    <w:uiPriority w:val="9"/>
    <w:rPr>
      <w:rFonts w:ascii="Arial" w:hAnsi="Arial" w:eastAsia="Arial" w:cs="Arial"/>
      <w:sz w:val="34"/>
    </w:rPr>
  </w:style>
  <w:style w:type="character" w:styleId="832" w:customStyle="1">
    <w:name w:val="Heading 3 Char"/>
    <w:basedOn w:val="818"/>
    <w:uiPriority w:val="9"/>
    <w:rPr>
      <w:rFonts w:ascii="Arial" w:hAnsi="Arial" w:eastAsia="Arial" w:cs="Arial"/>
      <w:sz w:val="30"/>
      <w:szCs w:val="30"/>
    </w:rPr>
  </w:style>
  <w:style w:type="character" w:styleId="833" w:customStyle="1">
    <w:name w:val="Заголовок 4 Знак"/>
    <w:basedOn w:val="818"/>
    <w:link w:val="812"/>
    <w:uiPriority w:val="9"/>
    <w:rPr>
      <w:rFonts w:ascii="Arial" w:hAnsi="Arial" w:eastAsia="Arial" w:cs="Arial"/>
      <w:b/>
      <w:bCs/>
      <w:sz w:val="26"/>
      <w:szCs w:val="26"/>
    </w:rPr>
  </w:style>
  <w:style w:type="character" w:styleId="834" w:customStyle="1">
    <w:name w:val="Heading 5 Char"/>
    <w:basedOn w:val="818"/>
    <w:uiPriority w:val="9"/>
    <w:rPr>
      <w:rFonts w:ascii="Arial" w:hAnsi="Arial" w:eastAsia="Arial" w:cs="Arial"/>
      <w:b/>
      <w:bCs/>
      <w:sz w:val="24"/>
      <w:szCs w:val="24"/>
    </w:rPr>
  </w:style>
  <w:style w:type="character" w:styleId="835" w:customStyle="1">
    <w:name w:val="Заголовок 6 Знак"/>
    <w:basedOn w:val="818"/>
    <w:link w:val="814"/>
    <w:uiPriority w:val="9"/>
    <w:rPr>
      <w:rFonts w:ascii="Arial" w:hAnsi="Arial" w:eastAsia="Arial" w:cs="Arial"/>
      <w:b/>
      <w:bCs/>
      <w:sz w:val="22"/>
      <w:szCs w:val="22"/>
    </w:rPr>
  </w:style>
  <w:style w:type="character" w:styleId="836" w:customStyle="1">
    <w:name w:val="Заголовок 7 Знак"/>
    <w:basedOn w:val="818"/>
    <w:link w:val="81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7" w:customStyle="1">
    <w:name w:val="Заголовок 8 Знак"/>
    <w:basedOn w:val="818"/>
    <w:link w:val="816"/>
    <w:uiPriority w:val="9"/>
    <w:rPr>
      <w:rFonts w:ascii="Arial" w:hAnsi="Arial" w:eastAsia="Arial" w:cs="Arial"/>
      <w:i/>
      <w:iCs/>
      <w:sz w:val="22"/>
      <w:szCs w:val="22"/>
    </w:rPr>
  </w:style>
  <w:style w:type="character" w:styleId="838" w:customStyle="1">
    <w:name w:val="Заголовок 9 Знак"/>
    <w:basedOn w:val="818"/>
    <w:link w:val="817"/>
    <w:uiPriority w:val="9"/>
    <w:rPr>
      <w:rFonts w:ascii="Arial" w:hAnsi="Arial" w:eastAsia="Arial" w:cs="Arial"/>
      <w:i/>
      <w:iCs/>
      <w:sz w:val="21"/>
      <w:szCs w:val="21"/>
    </w:rPr>
  </w:style>
  <w:style w:type="character" w:styleId="839" w:customStyle="1">
    <w:name w:val="Title Char"/>
    <w:basedOn w:val="818"/>
    <w:uiPriority w:val="10"/>
    <w:rPr>
      <w:sz w:val="48"/>
      <w:szCs w:val="48"/>
    </w:rPr>
  </w:style>
  <w:style w:type="paragraph" w:styleId="840">
    <w:name w:val="Subtitle"/>
    <w:basedOn w:val="808"/>
    <w:next w:val="808"/>
    <w:link w:val="841"/>
    <w:uiPriority w:val="11"/>
    <w:qFormat/>
    <w:pPr>
      <w:spacing w:before="200"/>
    </w:pPr>
    <w:rPr>
      <w:sz w:val="24"/>
      <w:szCs w:val="24"/>
    </w:rPr>
  </w:style>
  <w:style w:type="character" w:styleId="841" w:customStyle="1">
    <w:name w:val="Подзаголовок Знак"/>
    <w:basedOn w:val="818"/>
    <w:link w:val="840"/>
    <w:uiPriority w:val="11"/>
    <w:rPr>
      <w:sz w:val="24"/>
      <w:szCs w:val="24"/>
    </w:rPr>
  </w:style>
  <w:style w:type="paragraph" w:styleId="842">
    <w:name w:val="Quote"/>
    <w:basedOn w:val="808"/>
    <w:next w:val="808"/>
    <w:link w:val="843"/>
    <w:uiPriority w:val="29"/>
    <w:qFormat/>
    <w:pPr>
      <w:ind w:left="720" w:right="720"/>
    </w:pPr>
    <w:rPr>
      <w:i/>
    </w:rPr>
  </w:style>
  <w:style w:type="character" w:styleId="843" w:customStyle="1">
    <w:name w:val="Цитата 2 Знак"/>
    <w:link w:val="842"/>
    <w:uiPriority w:val="29"/>
    <w:rPr>
      <w:i/>
    </w:rPr>
  </w:style>
  <w:style w:type="paragraph" w:styleId="844">
    <w:name w:val="Intense Quote"/>
    <w:basedOn w:val="808"/>
    <w:next w:val="808"/>
    <w:link w:val="84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5" w:customStyle="1">
    <w:name w:val="Выделенная цитата Знак"/>
    <w:link w:val="844"/>
    <w:uiPriority w:val="30"/>
    <w:rPr>
      <w:i/>
    </w:rPr>
  </w:style>
  <w:style w:type="character" w:styleId="846" w:customStyle="1">
    <w:name w:val="Header Char"/>
    <w:basedOn w:val="818"/>
    <w:uiPriority w:val="99"/>
  </w:style>
  <w:style w:type="character" w:styleId="847" w:customStyle="1">
    <w:name w:val="Footer Char"/>
    <w:basedOn w:val="818"/>
    <w:uiPriority w:val="99"/>
  </w:style>
  <w:style w:type="paragraph" w:styleId="848">
    <w:name w:val="Caption"/>
    <w:basedOn w:val="808"/>
    <w:next w:val="808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849" w:customStyle="1">
    <w:name w:val="Caption Char"/>
    <w:uiPriority w:val="99"/>
  </w:style>
  <w:style w:type="table" w:styleId="850" w:customStyle="1">
    <w:name w:val="Table Grid Light"/>
    <w:basedOn w:val="81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51">
    <w:name w:val="Plain Table 1"/>
    <w:basedOn w:val="81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2">
    <w:name w:val="Plain Table 2"/>
    <w:basedOn w:val="81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3">
    <w:name w:val="Plain Table 3"/>
    <w:basedOn w:val="81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4">
    <w:name w:val="Plain Table 4"/>
    <w:basedOn w:val="81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Plain Table 5"/>
    <w:basedOn w:val="81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6">
    <w:name w:val="Grid Table 1 Light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Grid Table 1 Light - Accent 1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Grid Table 1 Light - Accent 2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Grid Table 1 Light - Accent 3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Grid Table 1 Light - Accent 4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Grid Table 1 Light - Accent 5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Grid Table 1 Light - Accent 6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Grid Table 2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2 - Accent 1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Grid Table 2 - Accent 2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Grid Table 2 - Accent 3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Grid Table 2 - Accent 4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Grid Table 2 - Accent 5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Grid Table 2 - Accent 6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3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Grid Table 3 - Accent 1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Grid Table 3 - Accent 2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3 - Accent 3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Grid Table 3 - Accent 4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Grid Table 3 - Accent 5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3 - Accent 6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4"/>
    <w:basedOn w:val="819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78" w:customStyle="1">
    <w:name w:val="Grid Table 4 - Accent 1"/>
    <w:basedOn w:val="81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79" w:customStyle="1">
    <w:name w:val="Grid Table 4 - Accent 2"/>
    <w:basedOn w:val="81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80" w:customStyle="1">
    <w:name w:val="Grid Table 4 - Accent 3"/>
    <w:basedOn w:val="819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81" w:customStyle="1">
    <w:name w:val="Grid Table 4 - Accent 4"/>
    <w:basedOn w:val="81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82" w:customStyle="1">
    <w:name w:val="Grid Table 4 - Accent 5"/>
    <w:basedOn w:val="81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83" w:customStyle="1">
    <w:name w:val="Grid Table 4 - Accent 6"/>
    <w:basedOn w:val="81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84">
    <w:name w:val="Grid Table 5 Dark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85" w:customStyle="1">
    <w:name w:val="Grid Table 5 Dark- Accent 1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86" w:customStyle="1">
    <w:name w:val="Grid Table 5 Dark - Accent 2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87" w:customStyle="1">
    <w:name w:val="Grid Table 5 Dark - Accent 3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88" w:customStyle="1">
    <w:name w:val="Grid Table 5 Dark- Accent 4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89" w:customStyle="1">
    <w:name w:val="Grid Table 5 Dark - Accent 5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90" w:customStyle="1">
    <w:name w:val="Grid Table 5 Dark - Accent 6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91">
    <w:name w:val="Grid Table 6 Colorful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92" w:customStyle="1">
    <w:name w:val="Grid Table 6 Colorful - Accent 1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93" w:customStyle="1">
    <w:name w:val="Grid Table 6 Colorful - Accent 2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94" w:customStyle="1">
    <w:name w:val="Grid Table 6 Colorful - Accent 3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95" w:customStyle="1">
    <w:name w:val="Grid Table 6 Colorful - Accent 4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96" w:customStyle="1">
    <w:name w:val="Grid Table 6 Colorful - Accent 5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97" w:customStyle="1">
    <w:name w:val="Grid Table 6 Colorful - Accent 6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98">
    <w:name w:val="Grid Table 7 Colorful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9" w:customStyle="1">
    <w:name w:val="Grid Table 7 Colorful - Accent 1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0" w:customStyle="1">
    <w:name w:val="Grid Table 7 Colorful - Accent 2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1" w:customStyle="1">
    <w:name w:val="Grid Table 7 Colorful - Accent 3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2" w:customStyle="1">
    <w:name w:val="Grid Table 7 Colorful - Accent 4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3" w:customStyle="1">
    <w:name w:val="Grid Table 7 Colorful - Accent 5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4" w:customStyle="1">
    <w:name w:val="Grid Table 7 Colorful - Accent 6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5">
    <w:name w:val="List Table 1 Light"/>
    <w:basedOn w:val="81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List Table 1 Light - Accent 1"/>
    <w:basedOn w:val="81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List Table 1 Light - Accent 2"/>
    <w:basedOn w:val="81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List Table 1 Light - Accent 3"/>
    <w:basedOn w:val="81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List Table 1 Light - Accent 4"/>
    <w:basedOn w:val="81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 w:customStyle="1">
    <w:name w:val="List Table 1 Light - Accent 5"/>
    <w:basedOn w:val="81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List Table 1 Light - Accent 6"/>
    <w:basedOn w:val="81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List Table 2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13" w:customStyle="1">
    <w:name w:val="List Table 2 - Accent 1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914" w:customStyle="1">
    <w:name w:val="List Table 2 - Accent 2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15" w:customStyle="1">
    <w:name w:val="List Table 2 - Accent 3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16" w:customStyle="1">
    <w:name w:val="List Table 2 - Accent 4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17" w:customStyle="1">
    <w:name w:val="List Table 2 - Accent 5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918" w:customStyle="1">
    <w:name w:val="List Table 2 - Accent 6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19">
    <w:name w:val="List Table 3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List Table 3 - Accent 1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List Table 3 - Accent 2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List Table 3 - Accent 3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 w:customStyle="1">
    <w:name w:val="List Table 3 - Accent 4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 w:customStyle="1">
    <w:name w:val="List Table 3 - Accent 5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 w:customStyle="1">
    <w:name w:val="List Table 3 - Accent 6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4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 w:customStyle="1">
    <w:name w:val="List Table 4 - Accent 1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 w:customStyle="1">
    <w:name w:val="List Table 4 - Accent 2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 w:customStyle="1">
    <w:name w:val="List Table 4 - Accent 3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 w:customStyle="1">
    <w:name w:val="List Table 4 - Accent 4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 w:customStyle="1">
    <w:name w:val="List Table 4 - Accent 5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 w:customStyle="1">
    <w:name w:val="List Table 4 - Accent 6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5 Dark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4" w:customStyle="1">
    <w:name w:val="List Table 5 Dark - Accent 1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5" w:customStyle="1">
    <w:name w:val="List Table 5 Dark - Accent 2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6" w:customStyle="1">
    <w:name w:val="List Table 5 Dark - Accent 3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7" w:customStyle="1">
    <w:name w:val="List Table 5 Dark - Accent 4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8" w:customStyle="1">
    <w:name w:val="List Table 5 Dark - Accent 5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9" w:customStyle="1">
    <w:name w:val="List Table 5 Dark - Accent 6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0">
    <w:name w:val="List Table 6 Colorful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41" w:customStyle="1">
    <w:name w:val="List Table 6 Colorful - Accent 1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42" w:customStyle="1">
    <w:name w:val="List Table 6 Colorful - Accent 2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43" w:customStyle="1">
    <w:name w:val="List Table 6 Colorful - Accent 3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44" w:customStyle="1">
    <w:name w:val="List Table 6 Colorful - Accent 4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45" w:customStyle="1">
    <w:name w:val="List Table 6 Colorful - Accent 5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946" w:customStyle="1">
    <w:name w:val="List Table 6 Colorful - Accent 6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47">
    <w:name w:val="List Table 7 Colorful"/>
    <w:basedOn w:val="81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8" w:customStyle="1">
    <w:name w:val="List Table 7 Colorful - Accent 1"/>
    <w:basedOn w:val="81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9" w:customStyle="1">
    <w:name w:val="List Table 7 Colorful - Accent 2"/>
    <w:basedOn w:val="81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0" w:customStyle="1">
    <w:name w:val="List Table 7 Colorful - Accent 3"/>
    <w:basedOn w:val="81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1" w:customStyle="1">
    <w:name w:val="List Table 7 Colorful - Accent 4"/>
    <w:basedOn w:val="81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2" w:customStyle="1">
    <w:name w:val="List Table 7 Colorful - Accent 5"/>
    <w:basedOn w:val="81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3" w:customStyle="1">
    <w:name w:val="List Table 7 Colorful - Accent 6"/>
    <w:basedOn w:val="81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4" w:customStyle="1">
    <w:name w:val="Lined - Accent"/>
    <w:basedOn w:val="81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55" w:customStyle="1">
    <w:name w:val="Lined - Accent 1"/>
    <w:basedOn w:val="81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56" w:customStyle="1">
    <w:name w:val="Lined - Accent 2"/>
    <w:basedOn w:val="81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57" w:customStyle="1">
    <w:name w:val="Lined - Accent 3"/>
    <w:basedOn w:val="81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58" w:customStyle="1">
    <w:name w:val="Lined - Accent 4"/>
    <w:basedOn w:val="81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59" w:customStyle="1">
    <w:name w:val="Lined - Accent 5"/>
    <w:basedOn w:val="81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60" w:customStyle="1">
    <w:name w:val="Lined - Accent 6"/>
    <w:basedOn w:val="81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61" w:customStyle="1">
    <w:name w:val="Bordered &amp; Lined - Accent"/>
    <w:basedOn w:val="81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62" w:customStyle="1">
    <w:name w:val="Bordered &amp; Lined - Accent 1"/>
    <w:basedOn w:val="81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63" w:customStyle="1">
    <w:name w:val="Bordered &amp; Lined - Accent 2"/>
    <w:basedOn w:val="81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64" w:customStyle="1">
    <w:name w:val="Bordered &amp; Lined - Accent 3"/>
    <w:basedOn w:val="81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65" w:customStyle="1">
    <w:name w:val="Bordered &amp; Lined - Accent 4"/>
    <w:basedOn w:val="81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66" w:customStyle="1">
    <w:name w:val="Bordered &amp; Lined - Accent 5"/>
    <w:basedOn w:val="81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67" w:customStyle="1">
    <w:name w:val="Bordered &amp; Lined - Accent 6"/>
    <w:basedOn w:val="81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68" w:customStyle="1">
    <w:name w:val="Bordered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69" w:customStyle="1">
    <w:name w:val="Bordered - Accent 1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70" w:customStyle="1">
    <w:name w:val="Bordered - Accent 2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71" w:customStyle="1">
    <w:name w:val="Bordered - Accent 3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72" w:customStyle="1">
    <w:name w:val="Bordered - Accent 4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73" w:customStyle="1">
    <w:name w:val="Bordered - Accent 5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74" w:customStyle="1">
    <w:name w:val="Bordered - Accent 6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75" w:customStyle="1">
    <w:name w:val="Footnote Text Char"/>
    <w:uiPriority w:val="99"/>
    <w:rPr>
      <w:sz w:val="18"/>
    </w:rPr>
  </w:style>
  <w:style w:type="paragraph" w:styleId="976">
    <w:name w:val="endnote text"/>
    <w:basedOn w:val="808"/>
    <w:link w:val="977"/>
    <w:uiPriority w:val="99"/>
    <w:semiHidden/>
    <w:unhideWhenUsed/>
    <w:pPr>
      <w:spacing w:after="0" w:line="240" w:lineRule="auto"/>
    </w:pPr>
    <w:rPr>
      <w:sz w:val="20"/>
    </w:rPr>
  </w:style>
  <w:style w:type="character" w:styleId="977" w:customStyle="1">
    <w:name w:val="Текст концевой сноски Знак"/>
    <w:link w:val="976"/>
    <w:uiPriority w:val="99"/>
    <w:rPr>
      <w:sz w:val="20"/>
    </w:rPr>
  </w:style>
  <w:style w:type="character" w:styleId="978">
    <w:name w:val="endnote reference"/>
    <w:basedOn w:val="818"/>
    <w:uiPriority w:val="99"/>
    <w:semiHidden/>
    <w:unhideWhenUsed/>
    <w:rPr>
      <w:vertAlign w:val="superscript"/>
    </w:rPr>
  </w:style>
  <w:style w:type="paragraph" w:styleId="979">
    <w:name w:val="table of figures"/>
    <w:basedOn w:val="808"/>
    <w:next w:val="808"/>
    <w:uiPriority w:val="99"/>
    <w:unhideWhenUsed/>
    <w:pPr>
      <w:spacing w:after="0"/>
    </w:pPr>
  </w:style>
  <w:style w:type="paragraph" w:styleId="980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981">
    <w:name w:val="Body Text"/>
    <w:basedOn w:val="808"/>
    <w:link w:val="982"/>
    <w:pPr>
      <w:jc w:val="both"/>
      <w:spacing w:after="0" w:line="240" w:lineRule="auto"/>
    </w:pPr>
    <w:rPr>
      <w:rFonts w:ascii="Arial" w:hAnsi="Arial" w:eastAsia="Times New Roman" w:cs="Times New Roman"/>
      <w:sz w:val="24"/>
      <w:szCs w:val="20"/>
      <w:lang w:eastAsia="ru-RU"/>
    </w:rPr>
  </w:style>
  <w:style w:type="character" w:styleId="982" w:customStyle="1">
    <w:name w:val="Основной текст Знак"/>
    <w:basedOn w:val="818"/>
    <w:link w:val="981"/>
    <w:rPr>
      <w:rFonts w:ascii="Arial" w:hAnsi="Arial" w:eastAsia="Times New Roman" w:cs="Times New Roman"/>
      <w:sz w:val="24"/>
      <w:szCs w:val="20"/>
      <w:lang w:eastAsia="ru-RU"/>
    </w:rPr>
  </w:style>
  <w:style w:type="paragraph" w:styleId="983">
    <w:name w:val="Footer"/>
    <w:basedOn w:val="808"/>
    <w:link w:val="984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84" w:customStyle="1">
    <w:name w:val="Нижний колонтитул Знак"/>
    <w:basedOn w:val="818"/>
    <w:link w:val="98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85" w:customStyle="1">
    <w:name w:val="Цветовое выделение"/>
    <w:uiPriority w:val="99"/>
    <w:rPr>
      <w:b/>
      <w:color w:val="26282f"/>
    </w:rPr>
  </w:style>
  <w:style w:type="paragraph" w:styleId="986">
    <w:name w:val="List Paragraph"/>
    <w:basedOn w:val="808"/>
    <w:link w:val="988"/>
    <w:uiPriority w:val="34"/>
    <w:qFormat/>
    <w:pPr>
      <w:contextualSpacing/>
      <w:ind w:left="720"/>
    </w:pPr>
  </w:style>
  <w:style w:type="table" w:styleId="987">
    <w:name w:val="Table Grid"/>
    <w:basedOn w:val="819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88" w:customStyle="1">
    <w:name w:val="Абзац списка Знак"/>
    <w:link w:val="986"/>
    <w:uiPriority w:val="34"/>
    <w:qFormat/>
  </w:style>
  <w:style w:type="paragraph" w:styleId="989">
    <w:name w:val="Header"/>
    <w:basedOn w:val="808"/>
    <w:link w:val="99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90" w:customStyle="1">
    <w:name w:val="Верхний колонтитул Знак"/>
    <w:basedOn w:val="818"/>
    <w:link w:val="989"/>
    <w:uiPriority w:val="99"/>
  </w:style>
  <w:style w:type="character" w:styleId="991">
    <w:name w:val="Hyperlink"/>
    <w:uiPriority w:val="99"/>
    <w:rPr>
      <w:color w:val="0000ff"/>
      <w:u w:val="single"/>
    </w:rPr>
  </w:style>
  <w:style w:type="paragraph" w:styleId="992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993" w:customStyle="1">
    <w:name w:val="Заголовок 2 Знак"/>
    <w:basedOn w:val="818"/>
    <w:link w:val="810"/>
    <w:uiPriority w:val="9"/>
    <w:rPr>
      <w:rFonts w:ascii="Times New Roman" w:hAnsi="Times New Roman" w:eastAsia="Times New Roman" w:cs="Times New Roman"/>
      <w:color w:val="000000"/>
      <w:sz w:val="30"/>
      <w:lang w:eastAsia="ru-RU"/>
    </w:rPr>
  </w:style>
  <w:style w:type="paragraph" w:styleId="994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995">
    <w:name w:val="No Spacing"/>
    <w:uiPriority w:val="1"/>
    <w:qFormat/>
    <w:pPr>
      <w:spacing w:after="0" w:line="240" w:lineRule="auto"/>
    </w:pPr>
  </w:style>
  <w:style w:type="paragraph" w:styleId="996">
    <w:name w:val="Balloon Text"/>
    <w:basedOn w:val="808"/>
    <w:link w:val="99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97" w:customStyle="1">
    <w:name w:val="Текст выноски Знак"/>
    <w:basedOn w:val="818"/>
    <w:link w:val="996"/>
    <w:uiPriority w:val="99"/>
    <w:semiHidden/>
    <w:rPr>
      <w:rFonts w:ascii="Segoe UI" w:hAnsi="Segoe UI" w:cs="Segoe UI"/>
      <w:sz w:val="18"/>
      <w:szCs w:val="18"/>
    </w:rPr>
  </w:style>
  <w:style w:type="character" w:styleId="998" w:customStyle="1">
    <w:name w:val="ГС_СписМелкМарк Знак"/>
    <w:link w:val="999"/>
    <w:rPr>
      <w:rFonts w:ascii="Times New Roman" w:hAnsi="Times New Roman" w:eastAsia="Times New Roman" w:cs="Times New Roman"/>
      <w:sz w:val="20"/>
      <w:szCs w:val="24"/>
      <w:lang w:eastAsia="ru-RU"/>
    </w:rPr>
  </w:style>
  <w:style w:type="paragraph" w:styleId="999" w:customStyle="1">
    <w:name w:val="ГС_СписМелкМарк"/>
    <w:link w:val="998"/>
    <w:pPr>
      <w:numPr>
        <w:ilvl w:val="0"/>
        <w:numId w:val="2"/>
      </w:numPr>
      <w:spacing w:before="40" w:after="40" w:line="240" w:lineRule="auto"/>
      <w:tabs>
        <w:tab w:val="left" w:pos="284" w:leader="none"/>
        <w:tab w:val="left" w:pos="567" w:leader="none"/>
        <w:tab w:val="left" w:pos="851" w:leader="none"/>
        <w:tab w:val="left" w:pos="1134" w:leader="none"/>
      </w:tabs>
    </w:pPr>
    <w:rPr>
      <w:rFonts w:ascii="Times New Roman" w:hAnsi="Times New Roman" w:eastAsia="Times New Roman" w:cs="Times New Roman"/>
      <w:sz w:val="20"/>
      <w:szCs w:val="24"/>
      <w:lang w:eastAsia="ru-RU"/>
    </w:rPr>
  </w:style>
  <w:style w:type="paragraph" w:styleId="1000">
    <w:name w:val="footnote text"/>
    <w:basedOn w:val="808"/>
    <w:link w:val="1001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01" w:customStyle="1">
    <w:name w:val="Текст сноски Знак"/>
    <w:basedOn w:val="818"/>
    <w:link w:val="1000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02">
    <w:name w:val="footnote reference"/>
    <w:basedOn w:val="818"/>
    <w:rPr>
      <w:vertAlign w:val="superscript"/>
    </w:rPr>
  </w:style>
  <w:style w:type="character" w:styleId="1003" w:customStyle="1">
    <w:name w:val="Заголовок 1 Знак"/>
    <w:basedOn w:val="818"/>
    <w:link w:val="809"/>
    <w:uiPriority w:val="9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1004">
    <w:name w:val="TOC Heading"/>
    <w:basedOn w:val="809"/>
    <w:next w:val="808"/>
    <w:uiPriority w:val="39"/>
    <w:unhideWhenUsed/>
    <w:qFormat/>
    <w:pPr>
      <w:spacing w:line="240" w:lineRule="auto"/>
      <w:outlineLvl w:val="9"/>
    </w:pPr>
    <w:rPr>
      <w:lang w:eastAsia="ru-RU"/>
    </w:rPr>
  </w:style>
  <w:style w:type="paragraph" w:styleId="1005" w:customStyle="1">
    <w:name w:val="ConsPlusNonformat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lang w:eastAsia="ru-RU"/>
    </w:rPr>
  </w:style>
  <w:style w:type="character" w:styleId="1006">
    <w:name w:val="annotation reference"/>
    <w:basedOn w:val="818"/>
    <w:unhideWhenUsed/>
    <w:qFormat/>
    <w:rPr>
      <w:sz w:val="16"/>
      <w:szCs w:val="16"/>
    </w:rPr>
  </w:style>
  <w:style w:type="paragraph" w:styleId="1007">
    <w:name w:val="annotation text"/>
    <w:basedOn w:val="808"/>
    <w:link w:val="1008"/>
    <w:unhideWhenUsed/>
    <w:qFormat/>
    <w:pPr>
      <w:spacing w:line="240" w:lineRule="auto"/>
    </w:pPr>
    <w:rPr>
      <w:sz w:val="20"/>
      <w:szCs w:val="20"/>
    </w:rPr>
  </w:style>
  <w:style w:type="character" w:styleId="1008" w:customStyle="1">
    <w:name w:val="Текст примечания Знак"/>
    <w:basedOn w:val="818"/>
    <w:link w:val="1007"/>
    <w:semiHidden/>
    <w:rPr>
      <w:sz w:val="20"/>
      <w:szCs w:val="20"/>
    </w:rPr>
  </w:style>
  <w:style w:type="paragraph" w:styleId="1009">
    <w:name w:val="annotation subject"/>
    <w:basedOn w:val="1007"/>
    <w:next w:val="1007"/>
    <w:link w:val="1010"/>
    <w:uiPriority w:val="99"/>
    <w:semiHidden/>
    <w:unhideWhenUsed/>
    <w:rPr>
      <w:b/>
      <w:bCs/>
    </w:rPr>
  </w:style>
  <w:style w:type="character" w:styleId="1010" w:customStyle="1">
    <w:name w:val="Тема примечания Знак"/>
    <w:basedOn w:val="1008"/>
    <w:link w:val="1009"/>
    <w:uiPriority w:val="99"/>
    <w:semiHidden/>
    <w:rPr>
      <w:b/>
      <w:bCs/>
      <w:sz w:val="20"/>
      <w:szCs w:val="20"/>
    </w:rPr>
  </w:style>
  <w:style w:type="paragraph" w:styleId="1011">
    <w:name w:val="Normal (Web)"/>
    <w:basedOn w:val="808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lang w:eastAsia="ru-RU"/>
    </w:rPr>
  </w:style>
  <w:style w:type="character" w:styleId="1012" w:customStyle="1">
    <w:name w:val="fill"/>
    <w:rPr>
      <w:color w:val="ff0000"/>
    </w:rPr>
  </w:style>
  <w:style w:type="paragraph" w:styleId="1013">
    <w:name w:val="toc 2"/>
    <w:basedOn w:val="808"/>
    <w:next w:val="808"/>
    <w:uiPriority w:val="39"/>
    <w:unhideWhenUsed/>
    <w:pPr>
      <w:ind w:left="709" w:right="566"/>
      <w:jc w:val="both"/>
      <w:spacing w:after="0" w:line="312" w:lineRule="auto"/>
      <w:tabs>
        <w:tab w:val="left" w:pos="1320" w:leader="none"/>
        <w:tab w:val="right" w:pos="9628" w:leader="dot"/>
      </w:tabs>
    </w:pPr>
  </w:style>
  <w:style w:type="paragraph" w:styleId="1014">
    <w:name w:val="toc 1"/>
    <w:basedOn w:val="808"/>
    <w:next w:val="808"/>
    <w:uiPriority w:val="39"/>
    <w:unhideWhenUsed/>
    <w:pPr>
      <w:ind w:left="709" w:right="284" w:hanging="851"/>
      <w:jc w:val="both"/>
      <w:spacing w:before="120" w:after="0" w:line="240" w:lineRule="auto"/>
      <w:tabs>
        <w:tab w:val="right" w:pos="9628" w:leader="dot"/>
      </w:tabs>
    </w:pPr>
  </w:style>
  <w:style w:type="character" w:styleId="1015">
    <w:name w:val="Strong"/>
    <w:basedOn w:val="818"/>
    <w:uiPriority w:val="22"/>
    <w:qFormat/>
    <w:rPr>
      <w:b/>
      <w:bCs/>
    </w:rPr>
  </w:style>
  <w:style w:type="numbering" w:styleId="1016" w:customStyle="1">
    <w:name w:val="Большой список"/>
    <w:uiPriority w:val="99"/>
    <w:pPr>
      <w:numPr>
        <w:ilvl w:val="0"/>
        <w:numId w:val="4"/>
      </w:numPr>
    </w:pPr>
  </w:style>
  <w:style w:type="paragraph" w:styleId="1017" w:customStyle="1">
    <w:name w:val="Большой список уровень 1"/>
    <w:basedOn w:val="808"/>
    <w:next w:val="808"/>
    <w:qFormat/>
    <w:pPr>
      <w:numPr>
        <w:ilvl w:val="0"/>
        <w:numId w:val="4"/>
      </w:numPr>
      <w:jc w:val="center"/>
      <w:keepNext/>
      <w:spacing w:before="360" w:after="0"/>
    </w:pPr>
    <w:rPr>
      <w:rFonts w:ascii="Times New Roman" w:hAnsi="Times New Roman" w:eastAsia="Times New Roman" w:cs="Times New Roman"/>
      <w:b/>
      <w:bCs/>
      <w:caps/>
      <w:sz w:val="26"/>
      <w:szCs w:val="24"/>
      <w:lang w:eastAsia="ru-RU"/>
    </w:rPr>
  </w:style>
  <w:style w:type="paragraph" w:styleId="1018" w:customStyle="1">
    <w:name w:val="Большой список уровень 2"/>
    <w:basedOn w:val="808"/>
    <w:qFormat/>
    <w:pPr>
      <w:numPr>
        <w:ilvl w:val="1"/>
        <w:numId w:val="4"/>
      </w:numPr>
      <w:jc w:val="both"/>
      <w:spacing w:after="0"/>
      <w:widowControl w:val="off"/>
    </w:pPr>
    <w:rPr>
      <w:rFonts w:ascii="Times New Roman" w:hAnsi="Times New Roman" w:cs="Times New Roman"/>
      <w:sz w:val="26"/>
      <w:szCs w:val="24"/>
    </w:rPr>
  </w:style>
  <w:style w:type="paragraph" w:styleId="1019" w:customStyle="1">
    <w:name w:val="Большой список уровень 3"/>
    <w:basedOn w:val="1018"/>
    <w:qFormat/>
    <w:pPr>
      <w:numPr>
        <w:ilvl w:val="2"/>
      </w:numPr>
      <w:ind w:left="0"/>
    </w:pPr>
    <w:rPr>
      <w:rFonts w:cstheme="minorBidi"/>
    </w:rPr>
  </w:style>
  <w:style w:type="paragraph" w:styleId="1020" w:customStyle="1">
    <w:name w:val="Большой список уровень 4 + без курсива"/>
    <w:basedOn w:val="1019"/>
    <w:link w:val="1022"/>
    <w:qFormat/>
    <w:pPr>
      <w:numPr>
        <w:ilvl w:val="3"/>
      </w:numPr>
    </w:pPr>
  </w:style>
  <w:style w:type="paragraph" w:styleId="1021" w:customStyle="1">
    <w:name w:val="Большой список уровень 5"/>
    <w:basedOn w:val="1020"/>
    <w:qFormat/>
    <w:pPr>
      <w:numPr>
        <w:ilvl w:val="4"/>
      </w:numPr>
      <w:ind w:left="3600" w:hanging="360"/>
    </w:pPr>
    <w:rPr>
      <w:i/>
    </w:rPr>
  </w:style>
  <w:style w:type="character" w:styleId="1022" w:customStyle="1">
    <w:name w:val="Большой список уровень 4 + без курсива Знак"/>
    <w:basedOn w:val="818"/>
    <w:link w:val="1020"/>
    <w:rPr>
      <w:rFonts w:ascii="Times New Roman" w:hAnsi="Times New Roman"/>
      <w:sz w:val="26"/>
      <w:szCs w:val="24"/>
    </w:rPr>
  </w:style>
  <w:style w:type="paragraph" w:styleId="1023">
    <w:name w:val="toc 3"/>
    <w:basedOn w:val="808"/>
    <w:next w:val="808"/>
    <w:uiPriority w:val="39"/>
    <w:unhideWhenUsed/>
    <w:pPr>
      <w:ind w:left="440"/>
      <w:spacing w:after="100" w:line="259" w:lineRule="auto"/>
    </w:pPr>
    <w:rPr>
      <w:rFonts w:cs="Times New Roman" w:eastAsiaTheme="minorEastAsia"/>
      <w:lang w:eastAsia="ru-RU"/>
    </w:rPr>
  </w:style>
  <w:style w:type="paragraph" w:styleId="1024" w:customStyle="1">
    <w:name w:val="_Заголовок 1"/>
    <w:basedOn w:val="809"/>
    <w:next w:val="1025"/>
    <w:qFormat/>
    <w:pPr>
      <w:numPr>
        <w:ilvl w:val="0"/>
        <w:numId w:val="6"/>
      </w:numPr>
      <w:jc w:val="center"/>
      <w:pageBreakBefore/>
      <w:spacing w:before="120" w:after="240" w:line="240" w:lineRule="auto"/>
    </w:pPr>
    <w:rPr>
      <w:rFonts w:ascii="Calibri Light" w:hAnsi="Calibri Light" w:eastAsia="Times New Roman" w:cs="Calibri Light"/>
      <w:b/>
      <w:bCs/>
      <w:color w:val="000000"/>
      <w:sz w:val="24"/>
      <w:szCs w:val="24"/>
      <w:lang w:eastAsia="zh-CN"/>
    </w:rPr>
  </w:style>
  <w:style w:type="paragraph" w:styleId="1025" w:customStyle="1">
    <w:name w:val="_Основной текст 1"/>
    <w:basedOn w:val="808"/>
    <w:qFormat/>
    <w:pPr>
      <w:ind w:firstLine="567"/>
      <w:jc w:val="both"/>
      <w:spacing w:after="0"/>
      <w:outlineLvl w:val="1"/>
    </w:pPr>
    <w:rPr>
      <w:rFonts w:ascii="Calibri Light" w:hAnsi="Calibri Light" w:eastAsia="Times New Roman" w:cs="Calibri Light"/>
      <w:bCs/>
      <w:color w:val="000000"/>
      <w:sz w:val="24"/>
      <w:szCs w:val="24"/>
      <w:lang w:eastAsia="zh-CN"/>
    </w:rPr>
  </w:style>
  <w:style w:type="paragraph" w:styleId="1026" w:customStyle="1">
    <w:name w:val="_Бул 1"/>
    <w:basedOn w:val="1025"/>
    <w:qFormat/>
    <w:pPr>
      <w:numPr>
        <w:ilvl w:val="0"/>
        <w:numId w:val="7"/>
      </w:numPr>
    </w:pPr>
  </w:style>
  <w:style w:type="paragraph" w:styleId="1027" w:customStyle="1">
    <w:name w:val="_Заголовок 2"/>
    <w:basedOn w:val="1024"/>
    <w:qFormat/>
    <w:pPr>
      <w:numPr>
        <w:ilvl w:val="0"/>
        <w:numId w:val="1"/>
      </w:numPr>
      <w:jc w:val="both"/>
      <w:keepLines w:val="0"/>
      <w:keepNext w:val="0"/>
      <w:pageBreakBefore w:val="0"/>
      <w:spacing w:before="0" w:after="0" w:line="276" w:lineRule="auto"/>
      <w:outlineLvl w:val="1"/>
    </w:pPr>
    <w:rPr>
      <w:b w:val="0"/>
    </w:rPr>
  </w:style>
  <w:style w:type="paragraph" w:styleId="1028" w:customStyle="1">
    <w:name w:val="_Бул 2"/>
    <w:basedOn w:val="1026"/>
    <w:qFormat/>
    <w:pPr>
      <w:numPr>
        <w:ilvl w:val="0"/>
        <w:numId w:val="5"/>
      </w:numPr>
    </w:pPr>
  </w:style>
  <w:style w:type="paragraph" w:styleId="1029" w:customStyle="1">
    <w:name w:val="_Заголовок 3"/>
    <w:basedOn w:val="1027"/>
    <w:qFormat/>
    <w:pPr>
      <w:numPr>
        <w:ilvl w:val="0"/>
        <w:numId w:val="3"/>
      </w:numPr>
      <w:ind w:left="709" w:firstLine="425"/>
    </w:pPr>
  </w:style>
  <w:style w:type="paragraph" w:styleId="1030" w:customStyle="1">
    <w:name w:val="_Основной текст 3"/>
    <w:basedOn w:val="1025"/>
    <w:qFormat/>
    <w:pPr>
      <w:ind w:left="1134"/>
      <w:spacing w:line="240" w:lineRule="auto"/>
    </w:pPr>
  </w:style>
  <w:style w:type="paragraph" w:styleId="1031" w:customStyle="1">
    <w:name w:val="_Бул 3"/>
    <w:basedOn w:val="808"/>
    <w:qFormat/>
    <w:pPr>
      <w:ind w:left="2127" w:firstLine="567"/>
      <w:jc w:val="both"/>
      <w:spacing w:after="0"/>
      <w:outlineLvl w:val="1"/>
    </w:pPr>
    <w:rPr>
      <w:rFonts w:ascii="Calibri Light" w:hAnsi="Calibri Light" w:eastAsia="Times New Roman" w:cs="Calibri Light"/>
      <w:bCs/>
      <w:color w:val="000000"/>
      <w:sz w:val="24"/>
      <w:szCs w:val="24"/>
      <w:lang w:eastAsia="zh-CN"/>
    </w:rPr>
  </w:style>
  <w:style w:type="paragraph" w:styleId="1032">
    <w:name w:val="toc 4"/>
    <w:basedOn w:val="808"/>
    <w:next w:val="808"/>
    <w:uiPriority w:val="39"/>
    <w:unhideWhenUsed/>
    <w:pPr>
      <w:ind w:left="660"/>
      <w:spacing w:after="100" w:line="259" w:lineRule="auto"/>
    </w:pPr>
    <w:rPr>
      <w:rFonts w:eastAsiaTheme="minorEastAsia"/>
      <w:lang w:eastAsia="ru-RU"/>
    </w:rPr>
  </w:style>
  <w:style w:type="paragraph" w:styleId="1033">
    <w:name w:val="toc 5"/>
    <w:basedOn w:val="808"/>
    <w:next w:val="808"/>
    <w:uiPriority w:val="39"/>
    <w:unhideWhenUsed/>
    <w:pPr>
      <w:ind w:left="880"/>
      <w:spacing w:after="100" w:line="259" w:lineRule="auto"/>
    </w:pPr>
    <w:rPr>
      <w:rFonts w:eastAsiaTheme="minorEastAsia"/>
      <w:lang w:eastAsia="ru-RU"/>
    </w:rPr>
  </w:style>
  <w:style w:type="paragraph" w:styleId="1034">
    <w:name w:val="toc 6"/>
    <w:basedOn w:val="808"/>
    <w:next w:val="808"/>
    <w:uiPriority w:val="39"/>
    <w:unhideWhenUsed/>
    <w:pPr>
      <w:ind w:left="1100"/>
      <w:spacing w:after="100" w:line="259" w:lineRule="auto"/>
    </w:pPr>
    <w:rPr>
      <w:rFonts w:eastAsiaTheme="minorEastAsia"/>
      <w:lang w:eastAsia="ru-RU"/>
    </w:rPr>
  </w:style>
  <w:style w:type="paragraph" w:styleId="1035">
    <w:name w:val="toc 7"/>
    <w:basedOn w:val="808"/>
    <w:next w:val="808"/>
    <w:uiPriority w:val="39"/>
    <w:unhideWhenUsed/>
    <w:pPr>
      <w:ind w:left="1320"/>
      <w:spacing w:after="100" w:line="259" w:lineRule="auto"/>
    </w:pPr>
    <w:rPr>
      <w:rFonts w:eastAsiaTheme="minorEastAsia"/>
      <w:lang w:eastAsia="ru-RU"/>
    </w:rPr>
  </w:style>
  <w:style w:type="paragraph" w:styleId="1036">
    <w:name w:val="toc 8"/>
    <w:basedOn w:val="808"/>
    <w:next w:val="808"/>
    <w:uiPriority w:val="39"/>
    <w:unhideWhenUsed/>
    <w:pPr>
      <w:ind w:left="1540"/>
      <w:spacing w:after="100" w:line="259" w:lineRule="auto"/>
    </w:pPr>
    <w:rPr>
      <w:rFonts w:eastAsiaTheme="minorEastAsia"/>
      <w:lang w:eastAsia="ru-RU"/>
    </w:rPr>
  </w:style>
  <w:style w:type="paragraph" w:styleId="1037">
    <w:name w:val="toc 9"/>
    <w:basedOn w:val="808"/>
    <w:next w:val="808"/>
    <w:uiPriority w:val="39"/>
    <w:unhideWhenUsed/>
    <w:pPr>
      <w:ind w:left="1760"/>
      <w:spacing w:after="100" w:line="259" w:lineRule="auto"/>
    </w:pPr>
    <w:rPr>
      <w:rFonts w:eastAsiaTheme="minorEastAsia"/>
      <w:lang w:eastAsia="ru-RU"/>
    </w:rPr>
  </w:style>
  <w:style w:type="paragraph" w:styleId="1038" w:customStyle="1">
    <w:name w:val="_Бул 3_с"/>
    <w:basedOn w:val="1028"/>
    <w:qFormat/>
    <w:pPr>
      <w:ind w:left="1701" w:firstLine="567"/>
      <w:tabs>
        <w:tab w:val="num" w:pos="0" w:leader="none"/>
      </w:tabs>
    </w:pPr>
  </w:style>
  <w:style w:type="paragraph" w:styleId="1039">
    <w:name w:val="Revision"/>
    <w:hidden/>
    <w:uiPriority w:val="99"/>
    <w:semiHidden/>
    <w:pPr>
      <w:spacing w:after="0" w:line="240" w:lineRule="auto"/>
    </w:pPr>
  </w:style>
  <w:style w:type="paragraph" w:styleId="1040" w:customStyle="1">
    <w:name w:val="Обычный1"/>
    <w:pPr>
      <w:ind w:left="360" w:right="200"/>
      <w:jc w:val="center"/>
      <w:spacing w:after="0" w:line="240" w:lineRule="auto"/>
    </w:pPr>
    <w:rPr>
      <w:rFonts w:ascii="Times New Roman" w:hAnsi="Times New Roman" w:eastAsia="Times New Roman" w:cs="Times New Roman"/>
      <w:i/>
      <w:sz w:val="12"/>
      <w:szCs w:val="20"/>
      <w:lang w:eastAsia="ru-RU"/>
    </w:rPr>
  </w:style>
  <w:style w:type="character" w:styleId="1041" w:customStyle="1">
    <w:name w:val="Заголовок 3 Знак"/>
    <w:basedOn w:val="818"/>
    <w:link w:val="811"/>
    <w:uiPriority w:val="9"/>
    <w:rPr>
      <w:rFonts w:ascii="Arial" w:hAnsi="Arial" w:cs="Arial" w:eastAsiaTheme="majorEastAsia"/>
      <w:color w:val="262626" w:themeColor="text1" w:themeTint="D9"/>
      <w:sz w:val="24"/>
      <w:szCs w:val="24"/>
    </w:rPr>
  </w:style>
  <w:style w:type="paragraph" w:styleId="1042" w:customStyle="1">
    <w:name w:val="@_Список_М1"/>
    <w:basedOn w:val="986"/>
    <w:qFormat/>
    <w:pPr>
      <w:contextualSpacing w:val="0"/>
      <w:ind w:left="0"/>
      <w:jc w:val="both"/>
      <w:spacing w:after="0" w:line="360" w:lineRule="auto"/>
    </w:pPr>
    <w:rPr>
      <w:rFonts w:ascii="Arial" w:hAnsi="Arial" w:eastAsia="MS Mincho" w:cs="Arial"/>
      <w:sz w:val="24"/>
      <w:szCs w:val="24"/>
      <w:lang w:eastAsia="ja-JP"/>
    </w:rPr>
  </w:style>
  <w:style w:type="paragraph" w:styleId="1043" w:customStyle="1">
    <w:name w:val="@_Текст2"/>
    <w:basedOn w:val="808"/>
    <w:qFormat/>
    <w:pPr>
      <w:jc w:val="both"/>
      <w:spacing w:after="0" w:line="360" w:lineRule="auto"/>
    </w:pPr>
    <w:rPr>
      <w:rFonts w:ascii="Arial" w:hAnsi="Arial" w:eastAsia="Times New Roman" w:cs="Arial"/>
      <w:sz w:val="24"/>
      <w:szCs w:val="24"/>
    </w:rPr>
  </w:style>
  <w:style w:type="paragraph" w:styleId="1044">
    <w:name w:val="Title"/>
    <w:basedOn w:val="808"/>
    <w:link w:val="1045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045" w:customStyle="1">
    <w:name w:val="Заголовок Знак"/>
    <w:basedOn w:val="818"/>
    <w:link w:val="1044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46" w:customStyle="1">
    <w:name w:val="Основной текст1"/>
    <w:basedOn w:val="808"/>
    <w:link w:val="1049"/>
    <w:pPr>
      <w:ind w:firstLine="720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1047" w:customStyle="1">
    <w:name w:val="Table text"/>
    <w:basedOn w:val="1046"/>
    <w:pPr>
      <w:ind w:firstLine="0"/>
      <w:jc w:val="left"/>
      <w:spacing w:line="240" w:lineRule="auto"/>
    </w:pPr>
  </w:style>
  <w:style w:type="paragraph" w:styleId="1048" w:customStyle="1">
    <w:name w:val="Table_header"/>
    <w:basedOn w:val="1047"/>
    <w:pPr>
      <w:jc w:val="center"/>
    </w:pPr>
  </w:style>
  <w:style w:type="character" w:styleId="1049" w:customStyle="1">
    <w:name w:val="Body text Char"/>
    <w:basedOn w:val="818"/>
    <w:link w:val="1046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1050" w:customStyle="1">
    <w:name w:val="Цветной список - Акцент 11"/>
    <w:basedOn w:val="808"/>
    <w:link w:val="1051"/>
    <w:uiPriority w:val="34"/>
    <w:qFormat/>
    <w:pPr>
      <w:ind w:left="708"/>
      <w:spacing w:after="0" w:line="360" w:lineRule="auto"/>
    </w:pPr>
    <w:rPr>
      <w:rFonts w:ascii="Arial" w:hAnsi="Arial" w:eastAsia="Times New Roman" w:cs="Times New Roman"/>
      <w:sz w:val="24"/>
      <w:szCs w:val="20"/>
      <w:lang w:val="en-US"/>
    </w:rPr>
  </w:style>
  <w:style w:type="character" w:styleId="1051" w:customStyle="1">
    <w:name w:val="Цветной список - Акцент 1 Знак"/>
    <w:link w:val="1050"/>
    <w:uiPriority w:val="34"/>
    <w:rPr>
      <w:rFonts w:ascii="Arial" w:hAnsi="Arial" w:eastAsia="Times New Roman" w:cs="Times New Roman"/>
      <w:sz w:val="24"/>
      <w:szCs w:val="20"/>
      <w:lang w:val="en-US"/>
    </w:rPr>
  </w:style>
  <w:style w:type="character" w:styleId="1052" w:customStyle="1">
    <w:name w:val="Заголовок 5 Знак"/>
    <w:basedOn w:val="818"/>
    <w:link w:val="813"/>
    <w:rPr>
      <w:rFonts w:asciiTheme="majorHAnsi" w:hAnsiTheme="majorHAnsi" w:eastAsiaTheme="majorEastAsia" w:cstheme="majorBidi"/>
      <w:color w:val="2e74b5" w:themeColor="accent1" w:themeShade="BF"/>
    </w:rPr>
  </w:style>
  <w:style w:type="character" w:styleId="1053">
    <w:name w:val="Emphasis"/>
    <w:basedOn w:val="818"/>
    <w:uiPriority w:val="20"/>
    <w:qFormat/>
    <w:rPr>
      <w:i/>
      <w:i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B4661-49B8-484A-A19F-00B055911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РусГидро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 Евгений Григорьевич</dc:creator>
  <cp:keywords/>
  <dc:description/>
  <cp:lastModifiedBy>yarlykov_ke</cp:lastModifiedBy>
  <cp:revision>7</cp:revision>
  <dcterms:created xsi:type="dcterms:W3CDTF">2025-03-19T21:52:00Z</dcterms:created>
  <dcterms:modified xsi:type="dcterms:W3CDTF">2025-06-23T05:29:14Z</dcterms:modified>
</cp:coreProperties>
</file>